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592D" w14:textId="3DC07CC7" w:rsidR="00AF5C6D" w:rsidRPr="004C7D99" w:rsidRDefault="00060FC0" w:rsidP="00807C60">
      <w:pPr>
        <w:jc w:val="center"/>
        <w:rPr>
          <w:rFonts w:asciiTheme="minorHAnsi" w:hAnsiTheme="minorHAnsi" w:cstheme="minorHAnsi"/>
          <w:b/>
          <w:sz w:val="22"/>
          <w:szCs w:val="22"/>
        </w:rPr>
      </w:pPr>
      <w:r>
        <w:rPr>
          <w:rFonts w:asciiTheme="minorHAnsi" w:hAnsiTheme="minorHAnsi" w:cstheme="minorHAnsi"/>
          <w:b/>
          <w:sz w:val="22"/>
          <w:szCs w:val="22"/>
        </w:rPr>
        <w:t>Mission of Opportunity</w:t>
      </w:r>
      <w:r w:rsidR="00C9426B">
        <w:rPr>
          <w:rFonts w:asciiTheme="minorHAnsi" w:hAnsiTheme="minorHAnsi" w:cstheme="minorHAnsi"/>
          <w:b/>
          <w:sz w:val="22"/>
          <w:szCs w:val="22"/>
        </w:rPr>
        <w:t xml:space="preserve"> </w:t>
      </w:r>
      <w:r>
        <w:rPr>
          <w:rFonts w:asciiTheme="minorHAnsi" w:hAnsiTheme="minorHAnsi" w:cstheme="minorHAnsi"/>
          <w:b/>
          <w:sz w:val="22"/>
          <w:szCs w:val="22"/>
        </w:rPr>
        <w:t>–</w:t>
      </w:r>
      <w:r w:rsidR="00C9426B">
        <w:rPr>
          <w:rFonts w:asciiTheme="minorHAnsi" w:hAnsiTheme="minorHAnsi" w:cstheme="minorHAnsi"/>
          <w:b/>
          <w:sz w:val="22"/>
          <w:szCs w:val="22"/>
        </w:rPr>
        <w:t xml:space="preserve"> </w:t>
      </w:r>
      <w:r>
        <w:rPr>
          <w:rFonts w:asciiTheme="minorHAnsi" w:hAnsiTheme="minorHAnsi" w:cstheme="minorHAnsi"/>
          <w:b/>
          <w:sz w:val="22"/>
          <w:szCs w:val="22"/>
        </w:rPr>
        <w:t xml:space="preserve">Next Generation </w:t>
      </w:r>
      <w:r w:rsidR="00B26B45">
        <w:rPr>
          <w:rFonts w:asciiTheme="minorHAnsi" w:hAnsiTheme="minorHAnsi" w:cstheme="minorHAnsi"/>
          <w:b/>
          <w:sz w:val="22"/>
          <w:szCs w:val="22"/>
        </w:rPr>
        <w:t>Gravity Mission (NGGM)</w:t>
      </w:r>
    </w:p>
    <w:p w14:paraId="4364192E" w14:textId="68C4016C" w:rsidR="00807C60" w:rsidRPr="004C7D99" w:rsidRDefault="00807C60" w:rsidP="00545110">
      <w:pPr>
        <w:ind w:right="142"/>
        <w:jc w:val="center"/>
        <w:rPr>
          <w:rFonts w:asciiTheme="minorHAnsi" w:hAnsiTheme="minorHAnsi" w:cstheme="minorHAnsi"/>
          <w:b/>
          <w:sz w:val="22"/>
          <w:szCs w:val="22"/>
        </w:rPr>
      </w:pPr>
      <w:r w:rsidRPr="004C7D99">
        <w:rPr>
          <w:rFonts w:asciiTheme="minorHAnsi" w:hAnsiTheme="minorHAnsi" w:cstheme="minorHAnsi"/>
          <w:b/>
          <w:sz w:val="22"/>
          <w:szCs w:val="22"/>
        </w:rPr>
        <w:t>Mission Advisory Group</w:t>
      </w:r>
      <w:r w:rsidR="00AF5C6D" w:rsidRPr="004C7D99">
        <w:rPr>
          <w:rFonts w:asciiTheme="minorHAnsi" w:hAnsiTheme="minorHAnsi" w:cstheme="minorHAnsi"/>
          <w:b/>
          <w:sz w:val="22"/>
          <w:szCs w:val="22"/>
        </w:rPr>
        <w:t xml:space="preserve"> (MAG)</w:t>
      </w:r>
    </w:p>
    <w:p w14:paraId="6D069686" w14:textId="77777777" w:rsidR="00AF5C6D" w:rsidRPr="004C7D99" w:rsidRDefault="00AF5C6D" w:rsidP="00807C60">
      <w:pPr>
        <w:jc w:val="center"/>
        <w:rPr>
          <w:rFonts w:asciiTheme="minorHAnsi" w:hAnsiTheme="minorHAnsi" w:cstheme="minorHAnsi"/>
          <w:b/>
          <w:sz w:val="18"/>
          <w:szCs w:val="22"/>
        </w:rPr>
      </w:pPr>
    </w:p>
    <w:p w14:paraId="7226D439" w14:textId="77777777" w:rsidR="00807C60" w:rsidRDefault="00807C60" w:rsidP="004C7D99">
      <w:pPr>
        <w:spacing w:after="200"/>
        <w:jc w:val="center"/>
        <w:rPr>
          <w:rFonts w:asciiTheme="minorHAnsi" w:hAnsiTheme="minorHAnsi" w:cstheme="minorHAnsi"/>
          <w:b/>
          <w:sz w:val="22"/>
          <w:szCs w:val="22"/>
        </w:rPr>
      </w:pPr>
      <w:r w:rsidRPr="004C7D99">
        <w:rPr>
          <w:rFonts w:asciiTheme="minorHAnsi" w:hAnsiTheme="minorHAnsi" w:cstheme="minorHAnsi"/>
          <w:b/>
          <w:sz w:val="22"/>
          <w:szCs w:val="22"/>
        </w:rPr>
        <w:t>Terms of Reference</w:t>
      </w:r>
    </w:p>
    <w:p w14:paraId="3D5D6CF6" w14:textId="214DD0CF" w:rsidR="00B26B45" w:rsidRDefault="00DD15E9" w:rsidP="003F597A">
      <w:pPr>
        <w:jc w:val="both"/>
        <w:rPr>
          <w:rFonts w:asciiTheme="minorHAnsi" w:hAnsiTheme="minorHAnsi" w:cstheme="minorHAnsi"/>
          <w:sz w:val="20"/>
        </w:rPr>
      </w:pPr>
      <w:r w:rsidRPr="00B26B45">
        <w:rPr>
          <w:rFonts w:asciiTheme="minorHAnsi" w:hAnsiTheme="minorHAnsi" w:cstheme="minorHAnsi"/>
          <w:sz w:val="20"/>
        </w:rPr>
        <w:t>The ob</w:t>
      </w:r>
      <w:r>
        <w:rPr>
          <w:rFonts w:asciiTheme="minorHAnsi" w:hAnsiTheme="minorHAnsi" w:cstheme="minorHAnsi"/>
          <w:sz w:val="20"/>
        </w:rPr>
        <w:t>jective of the Mission Advisory Group is to advise ESA on the Next Generation Gravity Mission of Opportunity</w:t>
      </w:r>
      <w:r w:rsidR="00E94462">
        <w:rPr>
          <w:rFonts w:asciiTheme="minorHAnsi" w:hAnsiTheme="minorHAnsi" w:cstheme="minorHAnsi"/>
          <w:sz w:val="20"/>
        </w:rPr>
        <w:t xml:space="preserve"> (NGGM)</w:t>
      </w:r>
      <w:r>
        <w:rPr>
          <w:rFonts w:asciiTheme="minorHAnsi" w:hAnsiTheme="minorHAnsi" w:cstheme="minorHAnsi"/>
          <w:sz w:val="20"/>
        </w:rPr>
        <w:t xml:space="preserve">, </w:t>
      </w:r>
      <w:r w:rsidR="00E94462">
        <w:rPr>
          <w:rFonts w:asciiTheme="minorHAnsi" w:hAnsiTheme="minorHAnsi" w:cstheme="minorHAnsi"/>
          <w:sz w:val="20"/>
        </w:rPr>
        <w:t xml:space="preserve">as </w:t>
      </w:r>
      <w:r>
        <w:rPr>
          <w:rFonts w:asciiTheme="minorHAnsi" w:hAnsiTheme="minorHAnsi" w:cstheme="minorHAnsi"/>
          <w:sz w:val="20"/>
        </w:rPr>
        <w:t xml:space="preserve">part of ESA’s </w:t>
      </w:r>
      <w:proofErr w:type="spellStart"/>
      <w:r>
        <w:rPr>
          <w:rFonts w:asciiTheme="minorHAnsi" w:hAnsiTheme="minorHAnsi" w:cstheme="minorHAnsi"/>
          <w:sz w:val="20"/>
        </w:rPr>
        <w:t>FutureEO</w:t>
      </w:r>
      <w:proofErr w:type="spellEnd"/>
      <w:r>
        <w:rPr>
          <w:rFonts w:asciiTheme="minorHAnsi" w:hAnsiTheme="minorHAnsi" w:cstheme="minorHAnsi"/>
          <w:sz w:val="20"/>
        </w:rPr>
        <w:t xml:space="preserve"> Programme. NGGM is currently in </w:t>
      </w:r>
      <w:r w:rsidR="00614D17" w:rsidRPr="008209E6">
        <w:rPr>
          <w:rFonts w:asciiTheme="minorHAnsi" w:hAnsiTheme="minorHAnsi" w:cstheme="minorHAnsi"/>
          <w:sz w:val="20"/>
        </w:rPr>
        <w:t xml:space="preserve">advance </w:t>
      </w:r>
      <w:r w:rsidR="009D70CE">
        <w:rPr>
          <w:rFonts w:asciiTheme="minorHAnsi" w:hAnsiTheme="minorHAnsi" w:cstheme="minorHAnsi"/>
          <w:sz w:val="20"/>
        </w:rPr>
        <w:t>Phase</w:t>
      </w:r>
      <w:r w:rsidR="00696491">
        <w:rPr>
          <w:rFonts w:asciiTheme="minorHAnsi" w:hAnsiTheme="minorHAnsi" w:cstheme="minorHAnsi"/>
          <w:sz w:val="20"/>
        </w:rPr>
        <w:t> </w:t>
      </w:r>
      <w:r w:rsidR="00614D17" w:rsidRPr="008209E6">
        <w:rPr>
          <w:rFonts w:asciiTheme="minorHAnsi" w:hAnsiTheme="minorHAnsi" w:cstheme="minorHAnsi"/>
          <w:sz w:val="20"/>
        </w:rPr>
        <w:t>B2</w:t>
      </w:r>
      <w:r w:rsidRPr="008209E6">
        <w:rPr>
          <w:rFonts w:asciiTheme="minorHAnsi" w:hAnsiTheme="minorHAnsi" w:cstheme="minorHAnsi"/>
          <w:sz w:val="20"/>
        </w:rPr>
        <w:t>.</w:t>
      </w:r>
      <w:r>
        <w:rPr>
          <w:rFonts w:asciiTheme="minorHAnsi" w:hAnsiTheme="minorHAnsi" w:cstheme="minorHAnsi"/>
          <w:sz w:val="20"/>
        </w:rPr>
        <w:t xml:space="preserve"> </w:t>
      </w:r>
      <w:r w:rsidR="00C50B4D">
        <w:rPr>
          <w:rFonts w:asciiTheme="minorHAnsi" w:hAnsiTheme="minorHAnsi" w:cstheme="minorHAnsi"/>
          <w:sz w:val="20"/>
        </w:rPr>
        <w:t xml:space="preserve">The mission requirements of NGGM are provided in the NGGM </w:t>
      </w:r>
      <w:r w:rsidR="00EC2F4F">
        <w:rPr>
          <w:rFonts w:asciiTheme="minorHAnsi" w:hAnsiTheme="minorHAnsi" w:cstheme="minorHAnsi"/>
          <w:sz w:val="20"/>
        </w:rPr>
        <w:t>Mission Requirement</w:t>
      </w:r>
      <w:r w:rsidR="009223E3">
        <w:rPr>
          <w:rFonts w:asciiTheme="minorHAnsi" w:hAnsiTheme="minorHAnsi" w:cstheme="minorHAnsi"/>
          <w:sz w:val="20"/>
        </w:rPr>
        <w:t>s Document (</w:t>
      </w:r>
      <w:r w:rsidR="00C50B4D">
        <w:rPr>
          <w:rFonts w:asciiTheme="minorHAnsi" w:hAnsiTheme="minorHAnsi" w:cstheme="minorHAnsi"/>
          <w:sz w:val="20"/>
        </w:rPr>
        <w:t>MRD</w:t>
      </w:r>
      <w:r w:rsidR="009223E3">
        <w:rPr>
          <w:rFonts w:asciiTheme="minorHAnsi" w:hAnsiTheme="minorHAnsi" w:cstheme="minorHAnsi"/>
          <w:sz w:val="20"/>
        </w:rPr>
        <w:t>)</w:t>
      </w:r>
      <w:r w:rsidR="006E4432">
        <w:rPr>
          <w:rFonts w:asciiTheme="minorHAnsi" w:hAnsiTheme="minorHAnsi" w:cstheme="minorHAnsi"/>
          <w:sz w:val="20"/>
        </w:rPr>
        <w:t xml:space="preserve">, which also </w:t>
      </w:r>
      <w:r w:rsidR="0029612E">
        <w:rPr>
          <w:rFonts w:asciiTheme="minorHAnsi" w:hAnsiTheme="minorHAnsi" w:cstheme="minorHAnsi"/>
          <w:sz w:val="20"/>
        </w:rPr>
        <w:t>documents</w:t>
      </w:r>
      <w:r w:rsidR="00946299">
        <w:rPr>
          <w:rFonts w:asciiTheme="minorHAnsi" w:hAnsiTheme="minorHAnsi" w:cstheme="minorHAnsi"/>
          <w:sz w:val="20"/>
        </w:rPr>
        <w:t xml:space="preserve"> user </w:t>
      </w:r>
      <w:r w:rsidR="00436C26">
        <w:rPr>
          <w:rFonts w:asciiTheme="minorHAnsi" w:hAnsiTheme="minorHAnsi" w:cstheme="minorHAnsi"/>
          <w:sz w:val="20"/>
        </w:rPr>
        <w:t>needs</w:t>
      </w:r>
      <w:r w:rsidR="00946299">
        <w:rPr>
          <w:rFonts w:asciiTheme="minorHAnsi" w:hAnsiTheme="minorHAnsi" w:cstheme="minorHAnsi"/>
          <w:sz w:val="20"/>
        </w:rPr>
        <w:t xml:space="preserve"> </w:t>
      </w:r>
      <w:r w:rsidR="0029612E">
        <w:rPr>
          <w:rFonts w:asciiTheme="minorHAnsi" w:hAnsiTheme="minorHAnsi" w:cstheme="minorHAnsi"/>
          <w:sz w:val="20"/>
        </w:rPr>
        <w:t>derived</w:t>
      </w:r>
      <w:r w:rsidR="00EC2F4F">
        <w:rPr>
          <w:rFonts w:asciiTheme="minorHAnsi" w:hAnsiTheme="minorHAnsi" w:cstheme="minorHAnsi"/>
          <w:sz w:val="20"/>
        </w:rPr>
        <w:t xml:space="preserve"> from the </w:t>
      </w:r>
      <w:proofErr w:type="spellStart"/>
      <w:r w:rsidR="00EC2F4F">
        <w:rPr>
          <w:rFonts w:asciiTheme="minorHAnsi" w:hAnsiTheme="minorHAnsi" w:cstheme="minorHAnsi"/>
          <w:sz w:val="20"/>
        </w:rPr>
        <w:t>M</w:t>
      </w:r>
      <w:r w:rsidR="009223E3">
        <w:rPr>
          <w:rFonts w:asciiTheme="minorHAnsi" w:hAnsiTheme="minorHAnsi" w:cstheme="minorHAnsi"/>
          <w:sz w:val="20"/>
        </w:rPr>
        <w:t>A</w:t>
      </w:r>
      <w:r w:rsidR="00EC2F4F">
        <w:rPr>
          <w:rFonts w:asciiTheme="minorHAnsi" w:hAnsiTheme="minorHAnsi" w:cstheme="minorHAnsi"/>
          <w:sz w:val="20"/>
        </w:rPr>
        <w:t>ss</w:t>
      </w:r>
      <w:proofErr w:type="spellEnd"/>
      <w:r w:rsidR="00EC2F4F">
        <w:rPr>
          <w:rFonts w:asciiTheme="minorHAnsi" w:hAnsiTheme="minorHAnsi" w:cstheme="minorHAnsi"/>
          <w:sz w:val="20"/>
        </w:rPr>
        <w:t xml:space="preserve"> Chang</w:t>
      </w:r>
      <w:r w:rsidR="006D4452">
        <w:rPr>
          <w:rFonts w:asciiTheme="minorHAnsi" w:hAnsiTheme="minorHAnsi" w:cstheme="minorHAnsi"/>
          <w:sz w:val="20"/>
        </w:rPr>
        <w:t>e</w:t>
      </w:r>
      <w:r w:rsidR="00EC2F4F">
        <w:rPr>
          <w:rFonts w:asciiTheme="minorHAnsi" w:hAnsiTheme="minorHAnsi" w:cstheme="minorHAnsi"/>
          <w:sz w:val="20"/>
        </w:rPr>
        <w:t xml:space="preserve"> and Geosciences International Constellation (MAGIC) MRD.</w:t>
      </w:r>
      <w:r w:rsidR="0022401A">
        <w:rPr>
          <w:rFonts w:asciiTheme="minorHAnsi" w:hAnsiTheme="minorHAnsi" w:cstheme="minorHAnsi"/>
          <w:sz w:val="20"/>
        </w:rPr>
        <w:t xml:space="preserve"> </w:t>
      </w:r>
      <w:r w:rsidR="0056407D">
        <w:rPr>
          <w:rFonts w:asciiTheme="minorHAnsi" w:hAnsiTheme="minorHAnsi" w:cstheme="minorHAnsi"/>
          <w:sz w:val="20"/>
        </w:rPr>
        <w:t>ESA’s</w:t>
      </w:r>
      <w:r w:rsidR="006B47C0">
        <w:rPr>
          <w:rFonts w:asciiTheme="minorHAnsi" w:hAnsiTheme="minorHAnsi" w:cstheme="minorHAnsi"/>
          <w:sz w:val="20"/>
        </w:rPr>
        <w:t xml:space="preserve"> NGGM MRD </w:t>
      </w:r>
      <w:r w:rsidR="0056407D">
        <w:rPr>
          <w:rFonts w:asciiTheme="minorHAnsi" w:hAnsiTheme="minorHAnsi" w:cstheme="minorHAnsi"/>
          <w:sz w:val="20"/>
        </w:rPr>
        <w:t>is an</w:t>
      </w:r>
      <w:r w:rsidR="009555D3">
        <w:rPr>
          <w:rFonts w:asciiTheme="minorHAnsi" w:hAnsiTheme="minorHAnsi" w:cstheme="minorHAnsi"/>
          <w:sz w:val="20"/>
        </w:rPr>
        <w:t xml:space="preserve"> </w:t>
      </w:r>
      <w:r w:rsidR="006B47C0">
        <w:rPr>
          <w:rFonts w:asciiTheme="minorHAnsi" w:hAnsiTheme="minorHAnsi" w:cstheme="minorHAnsi"/>
          <w:sz w:val="20"/>
        </w:rPr>
        <w:t xml:space="preserve">evolution of the MAGIC </w:t>
      </w:r>
      <w:r w:rsidR="00BD4065">
        <w:rPr>
          <w:rFonts w:asciiTheme="minorHAnsi" w:hAnsiTheme="minorHAnsi" w:cstheme="minorHAnsi"/>
          <w:sz w:val="20"/>
        </w:rPr>
        <w:t xml:space="preserve">joint ESA/NASA reference </w:t>
      </w:r>
      <w:r w:rsidR="006B47C0">
        <w:rPr>
          <w:rFonts w:asciiTheme="minorHAnsi" w:hAnsiTheme="minorHAnsi" w:cstheme="minorHAnsi"/>
          <w:sz w:val="20"/>
        </w:rPr>
        <w:t xml:space="preserve">MRD </w:t>
      </w:r>
      <w:r w:rsidR="00617592">
        <w:rPr>
          <w:rFonts w:asciiTheme="minorHAnsi" w:hAnsiTheme="minorHAnsi" w:cstheme="minorHAnsi"/>
          <w:sz w:val="20"/>
        </w:rPr>
        <w:t xml:space="preserve">focusing on the </w:t>
      </w:r>
      <w:r w:rsidR="00E94462">
        <w:rPr>
          <w:rFonts w:asciiTheme="minorHAnsi" w:hAnsiTheme="minorHAnsi" w:cstheme="minorHAnsi"/>
          <w:sz w:val="20"/>
        </w:rPr>
        <w:t xml:space="preserve">ESA </w:t>
      </w:r>
      <w:r w:rsidR="00617592">
        <w:rPr>
          <w:rFonts w:asciiTheme="minorHAnsi" w:hAnsiTheme="minorHAnsi" w:cstheme="minorHAnsi"/>
          <w:sz w:val="20"/>
        </w:rPr>
        <w:t>NGGM pair of</w:t>
      </w:r>
      <w:r w:rsidR="00E94462">
        <w:rPr>
          <w:rFonts w:asciiTheme="minorHAnsi" w:hAnsiTheme="minorHAnsi" w:cstheme="minorHAnsi"/>
          <w:sz w:val="20"/>
        </w:rPr>
        <w:t xml:space="preserve"> satellites</w:t>
      </w:r>
      <w:r w:rsidR="00D16EBB">
        <w:rPr>
          <w:rFonts w:asciiTheme="minorHAnsi" w:hAnsiTheme="minorHAnsi" w:cstheme="minorHAnsi"/>
          <w:sz w:val="20"/>
        </w:rPr>
        <w:t xml:space="preserve">. </w:t>
      </w:r>
      <w:r w:rsidR="00A262EB">
        <w:rPr>
          <w:rFonts w:asciiTheme="minorHAnsi" w:hAnsiTheme="minorHAnsi" w:cstheme="minorHAnsi"/>
          <w:sz w:val="20"/>
        </w:rPr>
        <w:t xml:space="preserve">MAGIC </w:t>
      </w:r>
      <w:r w:rsidR="008B6AFF">
        <w:rPr>
          <w:rFonts w:asciiTheme="minorHAnsi" w:hAnsiTheme="minorHAnsi" w:cstheme="minorHAnsi"/>
          <w:sz w:val="20"/>
        </w:rPr>
        <w:t xml:space="preserve">will </w:t>
      </w:r>
      <w:r w:rsidR="00110397">
        <w:rPr>
          <w:rFonts w:asciiTheme="minorHAnsi" w:hAnsiTheme="minorHAnsi" w:cstheme="minorHAnsi"/>
          <w:sz w:val="20"/>
        </w:rPr>
        <w:t xml:space="preserve">be </w:t>
      </w:r>
      <w:r w:rsidR="00E94462">
        <w:rPr>
          <w:rFonts w:asciiTheme="minorHAnsi" w:hAnsiTheme="minorHAnsi" w:cstheme="minorHAnsi"/>
          <w:sz w:val="20"/>
        </w:rPr>
        <w:t xml:space="preserve">realised by combining </w:t>
      </w:r>
      <w:r w:rsidR="008B6AFF">
        <w:rPr>
          <w:rFonts w:asciiTheme="minorHAnsi" w:hAnsiTheme="minorHAnsi" w:cstheme="minorHAnsi"/>
          <w:sz w:val="20"/>
        </w:rPr>
        <w:t xml:space="preserve">the </w:t>
      </w:r>
      <w:r w:rsidR="00594111">
        <w:rPr>
          <w:rFonts w:asciiTheme="minorHAnsi" w:hAnsiTheme="minorHAnsi" w:cstheme="minorHAnsi"/>
          <w:sz w:val="20"/>
        </w:rPr>
        <w:t>GRACE-C</w:t>
      </w:r>
      <w:r w:rsidR="008B6AFF">
        <w:rPr>
          <w:rFonts w:asciiTheme="minorHAnsi" w:hAnsiTheme="minorHAnsi" w:cstheme="minorHAnsi"/>
          <w:sz w:val="20"/>
        </w:rPr>
        <w:t xml:space="preserve"> mission </w:t>
      </w:r>
      <w:r w:rsidR="00C171CC">
        <w:rPr>
          <w:rFonts w:asciiTheme="minorHAnsi" w:hAnsiTheme="minorHAnsi" w:cstheme="minorHAnsi"/>
          <w:sz w:val="20"/>
        </w:rPr>
        <w:t xml:space="preserve">as a first </w:t>
      </w:r>
      <w:r w:rsidR="0029612E">
        <w:rPr>
          <w:rFonts w:asciiTheme="minorHAnsi" w:hAnsiTheme="minorHAnsi" w:cstheme="minorHAnsi"/>
          <w:sz w:val="20"/>
        </w:rPr>
        <w:t xml:space="preserve">satellite </w:t>
      </w:r>
      <w:r w:rsidR="00DD2941">
        <w:rPr>
          <w:rFonts w:asciiTheme="minorHAnsi" w:hAnsiTheme="minorHAnsi" w:cstheme="minorHAnsi"/>
          <w:sz w:val="20"/>
        </w:rPr>
        <w:t xml:space="preserve">pair in a </w:t>
      </w:r>
      <w:r w:rsidR="00C171CC">
        <w:rPr>
          <w:rFonts w:asciiTheme="minorHAnsi" w:hAnsiTheme="minorHAnsi" w:cstheme="minorHAnsi"/>
          <w:sz w:val="20"/>
        </w:rPr>
        <w:t xml:space="preserve">near-polar </w:t>
      </w:r>
      <w:r w:rsidR="00DD2941">
        <w:rPr>
          <w:rFonts w:asciiTheme="minorHAnsi" w:hAnsiTheme="minorHAnsi" w:cstheme="minorHAnsi"/>
          <w:sz w:val="20"/>
        </w:rPr>
        <w:t>orbit</w:t>
      </w:r>
      <w:r w:rsidR="00E74BFC">
        <w:rPr>
          <w:rFonts w:asciiTheme="minorHAnsi" w:hAnsiTheme="minorHAnsi" w:cstheme="minorHAnsi"/>
          <w:sz w:val="20"/>
        </w:rPr>
        <w:t xml:space="preserve"> </w:t>
      </w:r>
      <w:r w:rsidR="007A1D5E">
        <w:rPr>
          <w:rFonts w:asciiTheme="minorHAnsi" w:hAnsiTheme="minorHAnsi" w:cstheme="minorHAnsi"/>
          <w:sz w:val="20"/>
        </w:rPr>
        <w:t xml:space="preserve">complemented by </w:t>
      </w:r>
      <w:r w:rsidR="00E74BFC">
        <w:rPr>
          <w:rFonts w:asciiTheme="minorHAnsi" w:hAnsiTheme="minorHAnsi" w:cstheme="minorHAnsi"/>
          <w:sz w:val="20"/>
        </w:rPr>
        <w:t xml:space="preserve">the NGGM </w:t>
      </w:r>
      <w:r w:rsidR="00DD2941">
        <w:rPr>
          <w:rFonts w:asciiTheme="minorHAnsi" w:hAnsiTheme="minorHAnsi" w:cstheme="minorHAnsi"/>
          <w:sz w:val="20"/>
        </w:rPr>
        <w:t xml:space="preserve">mission as </w:t>
      </w:r>
      <w:r w:rsidR="007A1D5E">
        <w:rPr>
          <w:rFonts w:asciiTheme="minorHAnsi" w:hAnsiTheme="minorHAnsi" w:cstheme="minorHAnsi"/>
          <w:sz w:val="20"/>
        </w:rPr>
        <w:t xml:space="preserve">a </w:t>
      </w:r>
      <w:r w:rsidR="00DD2941">
        <w:rPr>
          <w:rFonts w:asciiTheme="minorHAnsi" w:hAnsiTheme="minorHAnsi" w:cstheme="minorHAnsi"/>
          <w:sz w:val="20"/>
        </w:rPr>
        <w:t xml:space="preserve">second </w:t>
      </w:r>
      <w:r w:rsidR="007A1D5E">
        <w:rPr>
          <w:rFonts w:asciiTheme="minorHAnsi" w:hAnsiTheme="minorHAnsi" w:cstheme="minorHAnsi"/>
          <w:sz w:val="20"/>
        </w:rPr>
        <w:t xml:space="preserve">satellite </w:t>
      </w:r>
      <w:r w:rsidR="00DD2941">
        <w:rPr>
          <w:rFonts w:asciiTheme="minorHAnsi" w:hAnsiTheme="minorHAnsi" w:cstheme="minorHAnsi"/>
          <w:sz w:val="20"/>
        </w:rPr>
        <w:t>pair in an inclined</w:t>
      </w:r>
      <w:r w:rsidR="00F66694">
        <w:rPr>
          <w:rFonts w:asciiTheme="minorHAnsi" w:hAnsiTheme="minorHAnsi" w:cstheme="minorHAnsi"/>
          <w:sz w:val="20"/>
        </w:rPr>
        <w:t xml:space="preserve"> controlled</w:t>
      </w:r>
      <w:r w:rsidR="00DD2941">
        <w:rPr>
          <w:rFonts w:asciiTheme="minorHAnsi" w:hAnsiTheme="minorHAnsi" w:cstheme="minorHAnsi"/>
          <w:sz w:val="20"/>
        </w:rPr>
        <w:t xml:space="preserve"> orbit</w:t>
      </w:r>
      <w:r w:rsidR="00BD4065">
        <w:rPr>
          <w:rFonts w:asciiTheme="minorHAnsi" w:hAnsiTheme="minorHAnsi" w:cstheme="minorHAnsi"/>
          <w:sz w:val="20"/>
        </w:rPr>
        <w:t xml:space="preserve"> (i.e. Bender constellation)</w:t>
      </w:r>
      <w:r w:rsidR="00E94462">
        <w:rPr>
          <w:rFonts w:asciiTheme="minorHAnsi" w:hAnsiTheme="minorHAnsi" w:cstheme="minorHAnsi"/>
          <w:sz w:val="20"/>
        </w:rPr>
        <w:t>,</w:t>
      </w:r>
      <w:r w:rsidR="007A1D5E">
        <w:rPr>
          <w:rFonts w:asciiTheme="minorHAnsi" w:hAnsiTheme="minorHAnsi" w:cstheme="minorHAnsi"/>
          <w:sz w:val="20"/>
        </w:rPr>
        <w:t xml:space="preserve"> </w:t>
      </w:r>
      <w:r w:rsidR="00E94462">
        <w:rPr>
          <w:rFonts w:asciiTheme="minorHAnsi" w:hAnsiTheme="minorHAnsi" w:cstheme="minorHAnsi"/>
          <w:sz w:val="20"/>
        </w:rPr>
        <w:t xml:space="preserve">to deliver significantly improved </w:t>
      </w:r>
      <w:r w:rsidR="00D65E3B">
        <w:rPr>
          <w:rFonts w:asciiTheme="minorHAnsi" w:hAnsiTheme="minorHAnsi" w:cstheme="minorHAnsi"/>
          <w:sz w:val="20"/>
        </w:rPr>
        <w:t>time</w:t>
      </w:r>
      <w:r w:rsidR="00E94462">
        <w:rPr>
          <w:rFonts w:asciiTheme="minorHAnsi" w:hAnsiTheme="minorHAnsi" w:cstheme="minorHAnsi"/>
          <w:sz w:val="20"/>
        </w:rPr>
        <w:t>-s</w:t>
      </w:r>
      <w:r w:rsidR="00D65E3B">
        <w:rPr>
          <w:rFonts w:asciiTheme="minorHAnsi" w:hAnsiTheme="minorHAnsi" w:cstheme="minorHAnsi"/>
          <w:sz w:val="20"/>
        </w:rPr>
        <w:t>pace sampling and constellation performance</w:t>
      </w:r>
      <w:r w:rsidR="00E94462">
        <w:rPr>
          <w:rFonts w:asciiTheme="minorHAnsi" w:hAnsiTheme="minorHAnsi" w:cstheme="minorHAnsi"/>
          <w:sz w:val="20"/>
        </w:rPr>
        <w:t xml:space="preserve"> and demonstration of the benefits of operational gravimetry</w:t>
      </w:r>
      <w:r w:rsidR="00DD2941">
        <w:rPr>
          <w:rFonts w:asciiTheme="minorHAnsi" w:hAnsiTheme="minorHAnsi" w:cstheme="minorHAnsi"/>
          <w:sz w:val="20"/>
        </w:rPr>
        <w:t>.</w:t>
      </w:r>
    </w:p>
    <w:p w14:paraId="3ACCE9C8" w14:textId="77777777" w:rsidR="002B1D43" w:rsidRDefault="002B1D43" w:rsidP="003F597A">
      <w:pPr>
        <w:jc w:val="both"/>
        <w:rPr>
          <w:rFonts w:asciiTheme="minorHAnsi" w:hAnsiTheme="minorHAnsi" w:cstheme="minorHAnsi"/>
          <w:sz w:val="20"/>
        </w:rPr>
      </w:pPr>
    </w:p>
    <w:p w14:paraId="1FFB66B7" w14:textId="251C0FD7" w:rsidR="002B1D43" w:rsidRPr="00B26B45" w:rsidRDefault="002B1D43" w:rsidP="003F597A">
      <w:pPr>
        <w:jc w:val="both"/>
        <w:rPr>
          <w:rFonts w:asciiTheme="minorHAnsi" w:hAnsiTheme="minorHAnsi" w:cstheme="minorHAnsi"/>
          <w:sz w:val="20"/>
        </w:rPr>
      </w:pPr>
      <w:r>
        <w:rPr>
          <w:rFonts w:asciiTheme="minorHAnsi" w:hAnsiTheme="minorHAnsi" w:cstheme="minorHAnsi"/>
          <w:sz w:val="20"/>
        </w:rPr>
        <w:t xml:space="preserve">In the context of </w:t>
      </w:r>
      <w:r w:rsidR="00976A9F">
        <w:rPr>
          <w:rFonts w:asciiTheme="minorHAnsi" w:hAnsiTheme="minorHAnsi" w:cstheme="minorHAnsi"/>
          <w:sz w:val="20"/>
        </w:rPr>
        <w:t>advance</w:t>
      </w:r>
      <w:r w:rsidR="00E12268">
        <w:rPr>
          <w:rFonts w:asciiTheme="minorHAnsi" w:hAnsiTheme="minorHAnsi" w:cstheme="minorHAnsi"/>
          <w:sz w:val="20"/>
        </w:rPr>
        <w:t xml:space="preserve"> Phase</w:t>
      </w:r>
      <w:r w:rsidR="00696491">
        <w:rPr>
          <w:rFonts w:asciiTheme="minorHAnsi" w:hAnsiTheme="minorHAnsi" w:cstheme="minorHAnsi"/>
          <w:sz w:val="20"/>
        </w:rPr>
        <w:t> </w:t>
      </w:r>
      <w:r w:rsidR="00976A9F">
        <w:rPr>
          <w:rFonts w:asciiTheme="minorHAnsi" w:hAnsiTheme="minorHAnsi" w:cstheme="minorHAnsi"/>
          <w:sz w:val="20"/>
        </w:rPr>
        <w:t>B2</w:t>
      </w:r>
      <w:r w:rsidR="00E55FBE">
        <w:rPr>
          <w:rFonts w:asciiTheme="minorHAnsi" w:hAnsiTheme="minorHAnsi" w:cstheme="minorHAnsi"/>
          <w:sz w:val="20"/>
        </w:rPr>
        <w:t>,</w:t>
      </w:r>
      <w:r w:rsidR="00E12268">
        <w:rPr>
          <w:rFonts w:asciiTheme="minorHAnsi" w:hAnsiTheme="minorHAnsi" w:cstheme="minorHAnsi"/>
          <w:sz w:val="20"/>
        </w:rPr>
        <w:t xml:space="preserve"> Phas</w:t>
      </w:r>
      <w:r w:rsidR="00696491">
        <w:rPr>
          <w:rFonts w:asciiTheme="minorHAnsi" w:hAnsiTheme="minorHAnsi" w:cstheme="minorHAnsi"/>
          <w:sz w:val="20"/>
        </w:rPr>
        <w:t>e </w:t>
      </w:r>
      <w:r>
        <w:rPr>
          <w:rFonts w:asciiTheme="minorHAnsi" w:hAnsiTheme="minorHAnsi" w:cstheme="minorHAnsi"/>
          <w:sz w:val="20"/>
        </w:rPr>
        <w:t>B</w:t>
      </w:r>
      <w:r w:rsidR="00E55FBE">
        <w:rPr>
          <w:rFonts w:asciiTheme="minorHAnsi" w:hAnsiTheme="minorHAnsi" w:cstheme="minorHAnsi"/>
          <w:sz w:val="20"/>
        </w:rPr>
        <w:t xml:space="preserve">2 and </w:t>
      </w:r>
      <w:r w:rsidR="00E12268">
        <w:rPr>
          <w:rFonts w:asciiTheme="minorHAnsi" w:hAnsiTheme="minorHAnsi" w:cstheme="minorHAnsi"/>
          <w:sz w:val="20"/>
        </w:rPr>
        <w:t>Phase</w:t>
      </w:r>
      <w:r w:rsidR="00696491">
        <w:rPr>
          <w:rFonts w:asciiTheme="minorHAnsi" w:hAnsiTheme="minorHAnsi" w:cstheme="minorHAnsi"/>
          <w:sz w:val="20"/>
        </w:rPr>
        <w:t> </w:t>
      </w:r>
      <w:r w:rsidR="00E55FBE">
        <w:rPr>
          <w:rFonts w:asciiTheme="minorHAnsi" w:hAnsiTheme="minorHAnsi" w:cstheme="minorHAnsi"/>
          <w:sz w:val="20"/>
        </w:rPr>
        <w:t>C</w:t>
      </w:r>
      <w:r w:rsidR="000A3FBC">
        <w:rPr>
          <w:rFonts w:asciiTheme="minorHAnsi" w:hAnsiTheme="minorHAnsi" w:cstheme="minorHAnsi"/>
          <w:sz w:val="20"/>
        </w:rPr>
        <w:t>, the NGGM M</w:t>
      </w:r>
      <w:r w:rsidR="00F06CEB">
        <w:rPr>
          <w:rFonts w:asciiTheme="minorHAnsi" w:hAnsiTheme="minorHAnsi" w:cstheme="minorHAnsi"/>
          <w:sz w:val="20"/>
        </w:rPr>
        <w:t>ission Advisory Group (MAG)</w:t>
      </w:r>
      <w:r w:rsidR="000A3FBC">
        <w:rPr>
          <w:rFonts w:asciiTheme="minorHAnsi" w:hAnsiTheme="minorHAnsi" w:cstheme="minorHAnsi"/>
          <w:sz w:val="20"/>
        </w:rPr>
        <w:t xml:space="preserve"> is tasked </w:t>
      </w:r>
      <w:r w:rsidR="00E55FBE">
        <w:rPr>
          <w:rFonts w:asciiTheme="minorHAnsi" w:hAnsiTheme="minorHAnsi" w:cstheme="minorHAnsi"/>
          <w:sz w:val="20"/>
        </w:rPr>
        <w:t>with providing advice to ESA as follows</w:t>
      </w:r>
      <w:r w:rsidR="000A3FBC">
        <w:rPr>
          <w:rFonts w:asciiTheme="minorHAnsi" w:hAnsiTheme="minorHAnsi" w:cstheme="minorHAnsi"/>
          <w:sz w:val="20"/>
        </w:rPr>
        <w:t>:</w:t>
      </w:r>
    </w:p>
    <w:p w14:paraId="0E67220C" w14:textId="77777777" w:rsidR="00B26B45" w:rsidRPr="004C7D99" w:rsidRDefault="00B26B45" w:rsidP="003F597A">
      <w:pPr>
        <w:jc w:val="both"/>
      </w:pPr>
    </w:p>
    <w:p w14:paraId="1B9EF10C" w14:textId="01DB00BA" w:rsidR="00807C60" w:rsidRPr="007C1F0A" w:rsidRDefault="00E55FBE" w:rsidP="00292B36">
      <w:pPr>
        <w:pStyle w:val="ListParagraph"/>
        <w:numPr>
          <w:ilvl w:val="0"/>
          <w:numId w:val="5"/>
        </w:numPr>
        <w:tabs>
          <w:tab w:val="left" w:pos="426"/>
        </w:tabs>
        <w:spacing w:after="120"/>
        <w:jc w:val="both"/>
        <w:rPr>
          <w:rFonts w:asciiTheme="minorHAnsi" w:hAnsiTheme="minorHAnsi" w:cstheme="minorHAnsi"/>
          <w:sz w:val="20"/>
          <w:szCs w:val="22"/>
        </w:rPr>
      </w:pPr>
      <w:r w:rsidRPr="007C1F0A">
        <w:rPr>
          <w:rFonts w:asciiTheme="minorHAnsi" w:hAnsiTheme="minorHAnsi" w:cstheme="minorHAnsi"/>
          <w:sz w:val="20"/>
          <w:szCs w:val="22"/>
        </w:rPr>
        <w:t>Support, guidance and advice</w:t>
      </w:r>
      <w:r w:rsidR="007E77BB" w:rsidRPr="007C1F0A">
        <w:rPr>
          <w:rFonts w:asciiTheme="minorHAnsi" w:hAnsiTheme="minorHAnsi" w:cstheme="minorHAnsi"/>
          <w:sz w:val="20"/>
          <w:szCs w:val="22"/>
        </w:rPr>
        <w:t xml:space="preserve"> </w:t>
      </w:r>
      <w:r w:rsidR="00807C60" w:rsidRPr="007C1F0A">
        <w:rPr>
          <w:rFonts w:asciiTheme="minorHAnsi" w:hAnsiTheme="minorHAnsi" w:cstheme="minorHAnsi"/>
          <w:sz w:val="20"/>
          <w:szCs w:val="22"/>
        </w:rPr>
        <w:t>on:</w:t>
      </w:r>
    </w:p>
    <w:p w14:paraId="628EA565" w14:textId="1D29495A" w:rsidR="006A5C5D" w:rsidRDefault="006A5C5D" w:rsidP="003F597A">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sidRPr="001F2C84">
        <w:rPr>
          <w:rFonts w:asciiTheme="minorHAnsi" w:hAnsiTheme="minorHAnsi" w:cstheme="minorHAnsi"/>
          <w:sz w:val="20"/>
          <w:szCs w:val="22"/>
        </w:rPr>
        <w:t xml:space="preserve">Refining the translation of mission objectives into observation </w:t>
      </w:r>
      <w:r w:rsidR="00D65E3B">
        <w:rPr>
          <w:rFonts w:asciiTheme="minorHAnsi" w:hAnsiTheme="minorHAnsi" w:cstheme="minorHAnsi"/>
          <w:sz w:val="20"/>
          <w:szCs w:val="22"/>
        </w:rPr>
        <w:t>and higher order product</w:t>
      </w:r>
      <w:r w:rsidR="00957088">
        <w:rPr>
          <w:rFonts w:asciiTheme="minorHAnsi" w:hAnsiTheme="minorHAnsi" w:cstheme="minorHAnsi"/>
          <w:sz w:val="20"/>
          <w:szCs w:val="22"/>
        </w:rPr>
        <w:t xml:space="preserve"> </w:t>
      </w:r>
      <w:r w:rsidR="00957088" w:rsidRPr="001F2C84">
        <w:rPr>
          <w:rFonts w:asciiTheme="minorHAnsi" w:hAnsiTheme="minorHAnsi" w:cstheme="minorHAnsi"/>
          <w:sz w:val="20"/>
          <w:szCs w:val="22"/>
        </w:rPr>
        <w:t>requirements</w:t>
      </w:r>
      <w:r w:rsidR="00E81C82">
        <w:rPr>
          <w:rFonts w:asciiTheme="minorHAnsi" w:hAnsiTheme="minorHAnsi" w:cstheme="minorHAnsi"/>
          <w:sz w:val="20"/>
          <w:szCs w:val="22"/>
        </w:rPr>
        <w:t xml:space="preserve"> (including advice on implementation trade-offs)</w:t>
      </w:r>
      <w:r w:rsidR="00205170">
        <w:rPr>
          <w:rFonts w:asciiTheme="minorHAnsi" w:hAnsiTheme="minorHAnsi" w:cstheme="minorHAnsi"/>
          <w:sz w:val="20"/>
          <w:szCs w:val="22"/>
        </w:rPr>
        <w:t>,</w:t>
      </w:r>
      <w:r w:rsidRPr="001F2C84">
        <w:rPr>
          <w:rFonts w:asciiTheme="minorHAnsi" w:hAnsiTheme="minorHAnsi" w:cstheme="minorHAnsi"/>
          <w:sz w:val="20"/>
          <w:szCs w:val="22"/>
        </w:rPr>
        <w:t xml:space="preserve"> which could result in refining the corresponding mission requirements as captured in the </w:t>
      </w:r>
      <w:r w:rsidR="00F15A8F">
        <w:rPr>
          <w:rFonts w:asciiTheme="minorHAnsi" w:hAnsiTheme="minorHAnsi" w:cstheme="minorHAnsi"/>
          <w:sz w:val="20"/>
          <w:szCs w:val="22"/>
        </w:rPr>
        <w:t xml:space="preserve">NGGM </w:t>
      </w:r>
      <w:r w:rsidRPr="001F2C84">
        <w:rPr>
          <w:rFonts w:asciiTheme="minorHAnsi" w:hAnsiTheme="minorHAnsi" w:cstheme="minorHAnsi"/>
          <w:sz w:val="20"/>
          <w:szCs w:val="22"/>
        </w:rPr>
        <w:t>MRD</w:t>
      </w:r>
      <w:r w:rsidR="00ED035E">
        <w:rPr>
          <w:rFonts w:asciiTheme="minorHAnsi" w:hAnsiTheme="minorHAnsi" w:cstheme="minorHAnsi"/>
          <w:sz w:val="20"/>
          <w:szCs w:val="22"/>
        </w:rPr>
        <w:t>,</w:t>
      </w:r>
    </w:p>
    <w:p w14:paraId="43C4BC33" w14:textId="12093D17" w:rsidR="004973A3" w:rsidRDefault="004973A3" w:rsidP="003F597A">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Assessi</w:t>
      </w:r>
      <w:r w:rsidR="00B1294B">
        <w:rPr>
          <w:rFonts w:asciiTheme="minorHAnsi" w:hAnsiTheme="minorHAnsi" w:cstheme="minorHAnsi"/>
          <w:sz w:val="20"/>
          <w:szCs w:val="22"/>
        </w:rPr>
        <w:t xml:space="preserve">ng the impact of trade-off </w:t>
      </w:r>
      <w:r w:rsidR="004A2E9F">
        <w:rPr>
          <w:rFonts w:asciiTheme="minorHAnsi" w:hAnsiTheme="minorHAnsi" w:cstheme="minorHAnsi"/>
          <w:sz w:val="20"/>
          <w:szCs w:val="22"/>
        </w:rPr>
        <w:t xml:space="preserve">considerations between the NGGM </w:t>
      </w:r>
      <w:r w:rsidR="003F2EE1">
        <w:rPr>
          <w:rFonts w:asciiTheme="minorHAnsi" w:hAnsiTheme="minorHAnsi" w:cstheme="minorHAnsi"/>
          <w:sz w:val="20"/>
          <w:szCs w:val="22"/>
        </w:rPr>
        <w:t>Phase</w:t>
      </w:r>
      <w:r w:rsidR="004A2E9F">
        <w:rPr>
          <w:rFonts w:asciiTheme="minorHAnsi" w:hAnsiTheme="minorHAnsi" w:cstheme="minorHAnsi"/>
          <w:sz w:val="20"/>
          <w:szCs w:val="22"/>
        </w:rPr>
        <w:t xml:space="preserve"> B1 baseline and add-on options for the space component</w:t>
      </w:r>
      <w:r w:rsidR="00ED035E">
        <w:rPr>
          <w:rFonts w:asciiTheme="minorHAnsi" w:hAnsiTheme="minorHAnsi" w:cstheme="minorHAnsi"/>
          <w:sz w:val="20"/>
          <w:szCs w:val="22"/>
        </w:rPr>
        <w:t>, and their impact on MAGIC and the MAGIC MRD</w:t>
      </w:r>
      <w:r w:rsidR="002223DF">
        <w:rPr>
          <w:rFonts w:asciiTheme="minorHAnsi" w:hAnsiTheme="minorHAnsi" w:cstheme="minorHAnsi"/>
          <w:sz w:val="20"/>
          <w:szCs w:val="22"/>
        </w:rPr>
        <w:t>,</w:t>
      </w:r>
    </w:p>
    <w:p w14:paraId="6A57EBED" w14:textId="49242AA9" w:rsidR="00A82BC7" w:rsidRDefault="00A82BC7" w:rsidP="00A82BC7">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 xml:space="preserve">End-to-end performance assessment for the NGGM mission and NGGM measurement system, </w:t>
      </w:r>
      <w:r w:rsidR="00633E00">
        <w:rPr>
          <w:rFonts w:asciiTheme="minorHAnsi" w:hAnsiTheme="minorHAnsi" w:cstheme="minorHAnsi"/>
          <w:sz w:val="20"/>
          <w:szCs w:val="22"/>
        </w:rPr>
        <w:t>considering</w:t>
      </w:r>
      <w:r w:rsidR="00205170">
        <w:rPr>
          <w:rFonts w:asciiTheme="minorHAnsi" w:hAnsiTheme="minorHAnsi" w:cstheme="minorHAnsi"/>
          <w:sz w:val="20"/>
          <w:szCs w:val="22"/>
        </w:rPr>
        <w:t xml:space="preserve"> the NGGM baseline </w:t>
      </w:r>
      <w:r w:rsidR="001F08D8">
        <w:rPr>
          <w:rFonts w:asciiTheme="minorHAnsi" w:hAnsiTheme="minorHAnsi" w:cstheme="minorHAnsi"/>
          <w:sz w:val="20"/>
          <w:szCs w:val="22"/>
        </w:rPr>
        <w:t>configuration</w:t>
      </w:r>
      <w:r w:rsidR="0058596B">
        <w:rPr>
          <w:rFonts w:asciiTheme="minorHAnsi" w:hAnsiTheme="minorHAnsi" w:cstheme="minorHAnsi"/>
          <w:sz w:val="20"/>
          <w:szCs w:val="22"/>
        </w:rPr>
        <w:t xml:space="preserve"> </w:t>
      </w:r>
      <w:r w:rsidR="00205170">
        <w:rPr>
          <w:rFonts w:asciiTheme="minorHAnsi" w:hAnsiTheme="minorHAnsi" w:cstheme="minorHAnsi"/>
          <w:sz w:val="20"/>
          <w:szCs w:val="22"/>
        </w:rPr>
        <w:t xml:space="preserve">from Phase </w:t>
      </w:r>
      <w:r w:rsidR="00E456BC">
        <w:rPr>
          <w:rFonts w:asciiTheme="minorHAnsi" w:hAnsiTheme="minorHAnsi" w:cstheme="minorHAnsi"/>
          <w:sz w:val="20"/>
          <w:szCs w:val="22"/>
        </w:rPr>
        <w:t>B1</w:t>
      </w:r>
      <w:r w:rsidR="002223DF">
        <w:rPr>
          <w:rFonts w:asciiTheme="minorHAnsi" w:hAnsiTheme="minorHAnsi" w:cstheme="minorHAnsi"/>
          <w:sz w:val="20"/>
          <w:szCs w:val="22"/>
        </w:rPr>
        <w:t>,</w:t>
      </w:r>
    </w:p>
    <w:p w14:paraId="1AE2B1E8" w14:textId="28331CCE" w:rsidR="001A0919" w:rsidRPr="004C7D99" w:rsidRDefault="001A0919" w:rsidP="001A0919">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 xml:space="preserve">NGGM </w:t>
      </w:r>
      <w:r w:rsidR="00C36884">
        <w:rPr>
          <w:rFonts w:asciiTheme="minorHAnsi" w:hAnsiTheme="minorHAnsi" w:cstheme="minorHAnsi"/>
          <w:sz w:val="20"/>
          <w:szCs w:val="22"/>
        </w:rPr>
        <w:t xml:space="preserve">in-orbit and on-ground </w:t>
      </w:r>
      <w:r w:rsidRPr="004C7D99">
        <w:rPr>
          <w:rFonts w:asciiTheme="minorHAnsi" w:hAnsiTheme="minorHAnsi" w:cstheme="minorHAnsi"/>
          <w:sz w:val="20"/>
          <w:szCs w:val="22"/>
        </w:rPr>
        <w:t>calibration aspects</w:t>
      </w:r>
      <w:r w:rsidR="002223DF">
        <w:rPr>
          <w:rFonts w:asciiTheme="minorHAnsi" w:hAnsiTheme="minorHAnsi" w:cstheme="minorHAnsi"/>
          <w:sz w:val="20"/>
          <w:szCs w:val="22"/>
        </w:rPr>
        <w:t>,</w:t>
      </w:r>
    </w:p>
    <w:p w14:paraId="6C3CE537" w14:textId="264B1C5A" w:rsidR="003B6320" w:rsidRPr="004C7D99" w:rsidRDefault="007F43A7" w:rsidP="003B6320">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Studies and requirements on the</w:t>
      </w:r>
      <w:r w:rsidR="003B6320" w:rsidRPr="004C7D99">
        <w:rPr>
          <w:rFonts w:asciiTheme="minorHAnsi" w:hAnsiTheme="minorHAnsi" w:cstheme="minorHAnsi"/>
          <w:sz w:val="20"/>
          <w:szCs w:val="22"/>
        </w:rPr>
        <w:t xml:space="preserve"> </w:t>
      </w:r>
      <w:proofErr w:type="gramStart"/>
      <w:r w:rsidR="003B6320" w:rsidRPr="004C7D99">
        <w:rPr>
          <w:rFonts w:asciiTheme="minorHAnsi" w:hAnsiTheme="minorHAnsi" w:cstheme="minorHAnsi"/>
          <w:sz w:val="20"/>
          <w:szCs w:val="22"/>
        </w:rPr>
        <w:t>Level-1</w:t>
      </w:r>
      <w:proofErr w:type="gramEnd"/>
      <w:r w:rsidR="003B6320" w:rsidRPr="004C7D99">
        <w:rPr>
          <w:rFonts w:asciiTheme="minorHAnsi" w:hAnsiTheme="minorHAnsi" w:cstheme="minorHAnsi"/>
          <w:sz w:val="20"/>
          <w:szCs w:val="22"/>
        </w:rPr>
        <w:t xml:space="preserve"> to </w:t>
      </w:r>
      <w:proofErr w:type="gramStart"/>
      <w:r w:rsidR="003B6320" w:rsidRPr="004C7D99">
        <w:rPr>
          <w:rFonts w:asciiTheme="minorHAnsi" w:hAnsiTheme="minorHAnsi" w:cstheme="minorHAnsi"/>
          <w:sz w:val="20"/>
          <w:szCs w:val="22"/>
        </w:rPr>
        <w:t>Level-</w:t>
      </w:r>
      <w:r w:rsidR="003B6320">
        <w:rPr>
          <w:rFonts w:asciiTheme="minorHAnsi" w:hAnsiTheme="minorHAnsi" w:cstheme="minorHAnsi"/>
          <w:sz w:val="20"/>
          <w:szCs w:val="22"/>
        </w:rPr>
        <w:t>3</w:t>
      </w:r>
      <w:proofErr w:type="gramEnd"/>
      <w:r>
        <w:rPr>
          <w:rFonts w:asciiTheme="minorHAnsi" w:hAnsiTheme="minorHAnsi" w:cstheme="minorHAnsi"/>
          <w:sz w:val="20"/>
          <w:szCs w:val="22"/>
        </w:rPr>
        <w:t xml:space="preserve"> algorithms</w:t>
      </w:r>
      <w:r w:rsidR="003B6320" w:rsidRPr="004C7D99">
        <w:rPr>
          <w:rFonts w:asciiTheme="minorHAnsi" w:hAnsiTheme="minorHAnsi" w:cstheme="minorHAnsi"/>
          <w:sz w:val="20"/>
          <w:szCs w:val="22"/>
        </w:rPr>
        <w:t xml:space="preserve"> that support the </w:t>
      </w:r>
      <w:r w:rsidR="003B6320">
        <w:rPr>
          <w:rFonts w:asciiTheme="minorHAnsi" w:hAnsiTheme="minorHAnsi" w:cstheme="minorHAnsi"/>
          <w:sz w:val="20"/>
          <w:szCs w:val="22"/>
        </w:rPr>
        <w:t>NGGM</w:t>
      </w:r>
      <w:r w:rsidR="003B6320" w:rsidRPr="004C7D99">
        <w:rPr>
          <w:rFonts w:asciiTheme="minorHAnsi" w:hAnsiTheme="minorHAnsi" w:cstheme="minorHAnsi"/>
          <w:sz w:val="20"/>
          <w:szCs w:val="22"/>
        </w:rPr>
        <w:t xml:space="preserve"> mission aim and objectives</w:t>
      </w:r>
      <w:r w:rsidR="002223DF">
        <w:rPr>
          <w:rFonts w:asciiTheme="minorHAnsi" w:hAnsiTheme="minorHAnsi" w:cstheme="minorHAnsi"/>
          <w:sz w:val="20"/>
          <w:szCs w:val="22"/>
        </w:rPr>
        <w:t>,</w:t>
      </w:r>
    </w:p>
    <w:p w14:paraId="5BF8F677" w14:textId="2A8B6204" w:rsidR="00BB5753" w:rsidRDefault="00E13332" w:rsidP="00A82BC7">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 xml:space="preserve">Data processing </w:t>
      </w:r>
      <w:r w:rsidR="009159D9">
        <w:rPr>
          <w:rFonts w:asciiTheme="minorHAnsi" w:hAnsiTheme="minorHAnsi" w:cstheme="minorHAnsi"/>
          <w:sz w:val="20"/>
          <w:szCs w:val="22"/>
        </w:rPr>
        <w:t xml:space="preserve">up to </w:t>
      </w:r>
      <w:proofErr w:type="gramStart"/>
      <w:r w:rsidR="009159D9">
        <w:rPr>
          <w:rFonts w:asciiTheme="minorHAnsi" w:hAnsiTheme="minorHAnsi" w:cstheme="minorHAnsi"/>
          <w:sz w:val="20"/>
          <w:szCs w:val="22"/>
        </w:rPr>
        <w:t>Level-3</w:t>
      </w:r>
      <w:proofErr w:type="gramEnd"/>
      <w:r w:rsidR="009159D9">
        <w:rPr>
          <w:rFonts w:asciiTheme="minorHAnsi" w:hAnsiTheme="minorHAnsi" w:cstheme="minorHAnsi"/>
          <w:sz w:val="20"/>
          <w:szCs w:val="22"/>
        </w:rPr>
        <w:t xml:space="preserve"> for NGGM and </w:t>
      </w:r>
      <w:r w:rsidR="00044F6D">
        <w:rPr>
          <w:rFonts w:asciiTheme="minorHAnsi" w:hAnsiTheme="minorHAnsi" w:cstheme="minorHAnsi"/>
          <w:sz w:val="20"/>
          <w:szCs w:val="22"/>
        </w:rPr>
        <w:t xml:space="preserve">from </w:t>
      </w:r>
      <w:proofErr w:type="gramStart"/>
      <w:r w:rsidR="009159D9">
        <w:rPr>
          <w:rFonts w:asciiTheme="minorHAnsi" w:hAnsiTheme="minorHAnsi" w:cstheme="minorHAnsi"/>
          <w:sz w:val="20"/>
          <w:szCs w:val="22"/>
        </w:rPr>
        <w:t>Level-2</w:t>
      </w:r>
      <w:proofErr w:type="gramEnd"/>
      <w:r w:rsidR="009159D9">
        <w:rPr>
          <w:rFonts w:asciiTheme="minorHAnsi" w:hAnsiTheme="minorHAnsi" w:cstheme="minorHAnsi"/>
          <w:sz w:val="20"/>
          <w:szCs w:val="22"/>
        </w:rPr>
        <w:t xml:space="preserve"> to </w:t>
      </w:r>
      <w:proofErr w:type="gramStart"/>
      <w:r w:rsidR="009159D9">
        <w:rPr>
          <w:rFonts w:asciiTheme="minorHAnsi" w:hAnsiTheme="minorHAnsi" w:cstheme="minorHAnsi"/>
          <w:sz w:val="20"/>
          <w:szCs w:val="22"/>
        </w:rPr>
        <w:t>Level-3</w:t>
      </w:r>
      <w:proofErr w:type="gramEnd"/>
      <w:r w:rsidR="009159D9">
        <w:rPr>
          <w:rFonts w:asciiTheme="minorHAnsi" w:hAnsiTheme="minorHAnsi" w:cstheme="minorHAnsi"/>
          <w:sz w:val="20"/>
          <w:szCs w:val="22"/>
        </w:rPr>
        <w:t xml:space="preserve"> for MAGIC</w:t>
      </w:r>
      <w:r w:rsidR="002223DF">
        <w:rPr>
          <w:rFonts w:asciiTheme="minorHAnsi" w:hAnsiTheme="minorHAnsi" w:cstheme="minorHAnsi"/>
          <w:sz w:val="20"/>
          <w:szCs w:val="22"/>
        </w:rPr>
        <w:t>,</w:t>
      </w:r>
    </w:p>
    <w:p w14:paraId="7658A647" w14:textId="4B70E672" w:rsidR="00BD1359" w:rsidRDefault="00D3114E" w:rsidP="00BD1359">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sidRPr="004C7D99">
        <w:rPr>
          <w:rFonts w:asciiTheme="minorHAnsi" w:hAnsiTheme="minorHAnsi" w:cstheme="minorHAnsi"/>
          <w:sz w:val="20"/>
          <w:szCs w:val="22"/>
        </w:rPr>
        <w:t>Data product requirements,</w:t>
      </w:r>
      <w:r w:rsidR="00A75E01">
        <w:rPr>
          <w:rFonts w:asciiTheme="minorHAnsi" w:hAnsiTheme="minorHAnsi" w:cstheme="minorHAnsi"/>
          <w:sz w:val="20"/>
          <w:szCs w:val="22"/>
        </w:rPr>
        <w:t xml:space="preserve"> </w:t>
      </w:r>
      <w:r w:rsidRPr="004C7D99">
        <w:rPr>
          <w:rFonts w:asciiTheme="minorHAnsi" w:hAnsiTheme="minorHAnsi" w:cstheme="minorHAnsi"/>
          <w:sz w:val="20"/>
          <w:szCs w:val="22"/>
        </w:rPr>
        <w:t>specifications and product quality indicators (error and uncertainty estimation)</w:t>
      </w:r>
      <w:r w:rsidR="006F133E">
        <w:rPr>
          <w:rFonts w:asciiTheme="minorHAnsi" w:hAnsiTheme="minorHAnsi" w:cstheme="minorHAnsi"/>
          <w:sz w:val="20"/>
          <w:szCs w:val="22"/>
        </w:rPr>
        <w:t>,</w:t>
      </w:r>
    </w:p>
    <w:p w14:paraId="7FDB2EA7" w14:textId="14000E04" w:rsidR="00D3114E" w:rsidRPr="004C7D99" w:rsidRDefault="00D65E3B" w:rsidP="003F597A">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Perf</w:t>
      </w:r>
      <w:r w:rsidR="00BD4065">
        <w:rPr>
          <w:rFonts w:asciiTheme="minorHAnsi" w:hAnsiTheme="minorHAnsi" w:cstheme="minorHAnsi"/>
          <w:sz w:val="20"/>
          <w:szCs w:val="22"/>
        </w:rPr>
        <w:t>or</w:t>
      </w:r>
      <w:r>
        <w:rPr>
          <w:rFonts w:asciiTheme="minorHAnsi" w:hAnsiTheme="minorHAnsi" w:cstheme="minorHAnsi"/>
          <w:sz w:val="20"/>
          <w:szCs w:val="22"/>
        </w:rPr>
        <w:t>mance</w:t>
      </w:r>
      <w:r w:rsidR="00D3114E" w:rsidRPr="004C7D99">
        <w:rPr>
          <w:rFonts w:asciiTheme="minorHAnsi" w:hAnsiTheme="minorHAnsi" w:cstheme="minorHAnsi"/>
          <w:sz w:val="20"/>
          <w:szCs w:val="22"/>
        </w:rPr>
        <w:t xml:space="preserve"> requirements for the</w:t>
      </w:r>
      <w:r w:rsidR="00FB2AA4">
        <w:rPr>
          <w:rFonts w:asciiTheme="minorHAnsi" w:hAnsiTheme="minorHAnsi" w:cstheme="minorHAnsi"/>
          <w:sz w:val="20"/>
          <w:szCs w:val="22"/>
        </w:rPr>
        <w:t xml:space="preserve"> NGGM</w:t>
      </w:r>
      <w:r w:rsidR="00D3114E" w:rsidRPr="004C7D99">
        <w:rPr>
          <w:rFonts w:asciiTheme="minorHAnsi" w:hAnsiTheme="minorHAnsi" w:cstheme="minorHAnsi"/>
          <w:sz w:val="20"/>
          <w:szCs w:val="22"/>
        </w:rPr>
        <w:t xml:space="preserve"> </w:t>
      </w:r>
      <w:proofErr w:type="gramStart"/>
      <w:r w:rsidR="00D3114E" w:rsidRPr="004C7D99">
        <w:rPr>
          <w:rFonts w:asciiTheme="minorHAnsi" w:hAnsiTheme="minorHAnsi" w:cstheme="minorHAnsi"/>
          <w:sz w:val="20"/>
          <w:szCs w:val="22"/>
        </w:rPr>
        <w:t>Level-1</w:t>
      </w:r>
      <w:proofErr w:type="gramEnd"/>
      <w:r w:rsidR="00D3114E" w:rsidRPr="004C7D99">
        <w:rPr>
          <w:rFonts w:asciiTheme="minorHAnsi" w:hAnsiTheme="minorHAnsi" w:cstheme="minorHAnsi"/>
          <w:sz w:val="20"/>
          <w:szCs w:val="22"/>
        </w:rPr>
        <w:t>/</w:t>
      </w:r>
      <w:proofErr w:type="gramStart"/>
      <w:r w:rsidR="00D3114E" w:rsidRPr="004C7D99">
        <w:rPr>
          <w:rFonts w:asciiTheme="minorHAnsi" w:hAnsiTheme="minorHAnsi" w:cstheme="minorHAnsi"/>
          <w:sz w:val="20"/>
          <w:szCs w:val="22"/>
        </w:rPr>
        <w:t>Level-2</w:t>
      </w:r>
      <w:proofErr w:type="gramEnd"/>
      <w:r w:rsidR="00910A02">
        <w:rPr>
          <w:rFonts w:asciiTheme="minorHAnsi" w:hAnsiTheme="minorHAnsi" w:cstheme="minorHAnsi"/>
          <w:sz w:val="20"/>
          <w:szCs w:val="22"/>
        </w:rPr>
        <w:t>/</w:t>
      </w:r>
      <w:proofErr w:type="gramStart"/>
      <w:r w:rsidR="00910A02">
        <w:rPr>
          <w:rFonts w:asciiTheme="minorHAnsi" w:hAnsiTheme="minorHAnsi" w:cstheme="minorHAnsi"/>
          <w:sz w:val="20"/>
          <w:szCs w:val="22"/>
        </w:rPr>
        <w:t>Level-3</w:t>
      </w:r>
      <w:proofErr w:type="gramEnd"/>
      <w:r w:rsidR="00D3114E" w:rsidRPr="004C7D99">
        <w:rPr>
          <w:rFonts w:asciiTheme="minorHAnsi" w:hAnsiTheme="minorHAnsi" w:cstheme="minorHAnsi"/>
          <w:sz w:val="20"/>
          <w:szCs w:val="22"/>
        </w:rPr>
        <w:t xml:space="preserve"> interface</w:t>
      </w:r>
      <w:r w:rsidR="006F133E">
        <w:rPr>
          <w:rFonts w:asciiTheme="minorHAnsi" w:hAnsiTheme="minorHAnsi" w:cstheme="minorHAnsi"/>
          <w:sz w:val="20"/>
          <w:szCs w:val="22"/>
        </w:rPr>
        <w:t>,</w:t>
      </w:r>
    </w:p>
    <w:p w14:paraId="02AA096F" w14:textId="26BEBDE6" w:rsidR="00F06CEB" w:rsidRDefault="00F06CEB" w:rsidP="00F06CEB">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sidRPr="004C7D99">
        <w:rPr>
          <w:rFonts w:asciiTheme="minorHAnsi" w:hAnsiTheme="minorHAnsi" w:cstheme="minorHAnsi"/>
          <w:sz w:val="20"/>
          <w:szCs w:val="22"/>
        </w:rPr>
        <w:t>Scope and content of studies required to clarify the scientific</w:t>
      </w:r>
      <w:r w:rsidR="00716083">
        <w:rPr>
          <w:rFonts w:asciiTheme="minorHAnsi" w:hAnsiTheme="minorHAnsi" w:cstheme="minorHAnsi"/>
          <w:sz w:val="20"/>
          <w:szCs w:val="22"/>
        </w:rPr>
        <w:t xml:space="preserve"> and application</w:t>
      </w:r>
      <w:r w:rsidRPr="004C7D99">
        <w:rPr>
          <w:rFonts w:asciiTheme="minorHAnsi" w:hAnsiTheme="minorHAnsi" w:cstheme="minorHAnsi"/>
          <w:sz w:val="20"/>
          <w:szCs w:val="22"/>
        </w:rPr>
        <w:t xml:space="preserve"> benefits of </w:t>
      </w:r>
      <w:r>
        <w:rPr>
          <w:rFonts w:asciiTheme="minorHAnsi" w:hAnsiTheme="minorHAnsi" w:cstheme="minorHAnsi"/>
          <w:sz w:val="20"/>
          <w:szCs w:val="22"/>
        </w:rPr>
        <w:t>NGGM and MAGIC</w:t>
      </w:r>
      <w:r w:rsidR="006F133E">
        <w:rPr>
          <w:rFonts w:asciiTheme="minorHAnsi" w:hAnsiTheme="minorHAnsi" w:cstheme="minorHAnsi"/>
          <w:sz w:val="20"/>
          <w:szCs w:val="22"/>
        </w:rPr>
        <w:t>,</w:t>
      </w:r>
    </w:p>
    <w:p w14:paraId="7B8459BE" w14:textId="418107A8" w:rsidR="00D3114E" w:rsidRDefault="004C468F" w:rsidP="003F597A">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C</w:t>
      </w:r>
      <w:r w:rsidR="00D3114E" w:rsidRPr="004C7D99">
        <w:rPr>
          <w:rFonts w:asciiTheme="minorHAnsi" w:hAnsiTheme="minorHAnsi" w:cstheme="minorHAnsi"/>
          <w:sz w:val="20"/>
          <w:szCs w:val="22"/>
        </w:rPr>
        <w:t xml:space="preserve">ampaign </w:t>
      </w:r>
      <w:r>
        <w:rPr>
          <w:rFonts w:asciiTheme="minorHAnsi" w:hAnsiTheme="minorHAnsi" w:cstheme="minorHAnsi"/>
          <w:sz w:val="20"/>
          <w:szCs w:val="22"/>
        </w:rPr>
        <w:t xml:space="preserve">study </w:t>
      </w:r>
      <w:r w:rsidR="00D3114E" w:rsidRPr="004C7D99">
        <w:rPr>
          <w:rFonts w:asciiTheme="minorHAnsi" w:hAnsiTheme="minorHAnsi" w:cstheme="minorHAnsi"/>
          <w:sz w:val="20"/>
          <w:szCs w:val="22"/>
        </w:rPr>
        <w:t xml:space="preserve">needs for the advancement of </w:t>
      </w:r>
      <w:r>
        <w:rPr>
          <w:rFonts w:asciiTheme="minorHAnsi" w:hAnsiTheme="minorHAnsi" w:cstheme="minorHAnsi"/>
          <w:sz w:val="20"/>
          <w:szCs w:val="22"/>
        </w:rPr>
        <w:t>NGGM scientific principles</w:t>
      </w:r>
      <w:r w:rsidR="00D3114E" w:rsidRPr="004C7D99">
        <w:rPr>
          <w:rFonts w:asciiTheme="minorHAnsi" w:hAnsiTheme="minorHAnsi" w:cstheme="minorHAnsi"/>
          <w:sz w:val="20"/>
          <w:szCs w:val="22"/>
        </w:rPr>
        <w:t>, including the development of calibration/validation schemes</w:t>
      </w:r>
      <w:r w:rsidR="006F133E">
        <w:rPr>
          <w:rFonts w:asciiTheme="minorHAnsi" w:hAnsiTheme="minorHAnsi" w:cstheme="minorHAnsi"/>
          <w:sz w:val="20"/>
          <w:szCs w:val="22"/>
        </w:rPr>
        <w:t>,</w:t>
      </w:r>
    </w:p>
    <w:p w14:paraId="4ED30CDF" w14:textId="7E51F0D0" w:rsidR="005942E0" w:rsidRPr="005942E0" w:rsidRDefault="005942E0" w:rsidP="005942E0">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P</w:t>
      </w:r>
      <w:r w:rsidRPr="00D7521C">
        <w:rPr>
          <w:rFonts w:asciiTheme="minorHAnsi" w:hAnsiTheme="minorHAnsi" w:cstheme="minorHAnsi"/>
          <w:sz w:val="20"/>
          <w:szCs w:val="22"/>
        </w:rPr>
        <w:t>reparation for Phase</w:t>
      </w:r>
      <w:r w:rsidR="009D70CE">
        <w:rPr>
          <w:rFonts w:asciiTheme="minorHAnsi" w:hAnsiTheme="minorHAnsi" w:cstheme="minorHAnsi"/>
          <w:sz w:val="20"/>
          <w:szCs w:val="22"/>
        </w:rPr>
        <w:t> </w:t>
      </w:r>
      <w:r w:rsidRPr="00D7521C">
        <w:rPr>
          <w:rFonts w:asciiTheme="minorHAnsi" w:hAnsiTheme="minorHAnsi" w:cstheme="minorHAnsi"/>
          <w:sz w:val="20"/>
          <w:szCs w:val="22"/>
        </w:rPr>
        <w:t>E1 calibration, validation and verification activities and coordination of international validation contributions</w:t>
      </w:r>
      <w:r w:rsidR="00976C2D">
        <w:rPr>
          <w:rFonts w:asciiTheme="minorHAnsi" w:hAnsiTheme="minorHAnsi" w:cstheme="minorHAnsi"/>
          <w:sz w:val="20"/>
          <w:szCs w:val="22"/>
        </w:rPr>
        <w:t xml:space="preserve"> for both NGGM and MAGIC</w:t>
      </w:r>
      <w:r>
        <w:rPr>
          <w:rFonts w:asciiTheme="minorHAnsi" w:hAnsiTheme="minorHAnsi" w:cstheme="minorHAnsi"/>
          <w:sz w:val="20"/>
          <w:szCs w:val="22"/>
        </w:rPr>
        <w:t>,</w:t>
      </w:r>
    </w:p>
    <w:p w14:paraId="46482B70" w14:textId="50DBF3FC" w:rsidR="0006131C" w:rsidRPr="00B371A6" w:rsidRDefault="001A6F65" w:rsidP="003F597A">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sidRPr="00B371A6">
        <w:rPr>
          <w:rFonts w:asciiTheme="minorHAnsi" w:hAnsiTheme="minorHAnsi" w:cstheme="minorHAnsi"/>
          <w:sz w:val="20"/>
          <w:szCs w:val="22"/>
        </w:rPr>
        <w:t>T</w:t>
      </w:r>
      <w:r w:rsidR="008D47B9" w:rsidRPr="00B371A6">
        <w:rPr>
          <w:rFonts w:asciiTheme="minorHAnsi" w:hAnsiTheme="minorHAnsi" w:cstheme="minorHAnsi"/>
          <w:sz w:val="20"/>
          <w:szCs w:val="22"/>
        </w:rPr>
        <w:t xml:space="preserve">opics </w:t>
      </w:r>
      <w:r w:rsidRPr="00B371A6">
        <w:rPr>
          <w:rFonts w:asciiTheme="minorHAnsi" w:hAnsiTheme="minorHAnsi" w:cstheme="minorHAnsi"/>
          <w:sz w:val="20"/>
          <w:szCs w:val="22"/>
        </w:rPr>
        <w:t>related to the</w:t>
      </w:r>
      <w:r w:rsidR="0006131C" w:rsidRPr="00B371A6">
        <w:rPr>
          <w:rFonts w:asciiTheme="minorHAnsi" w:hAnsiTheme="minorHAnsi" w:cstheme="minorHAnsi"/>
          <w:sz w:val="20"/>
          <w:szCs w:val="22"/>
        </w:rPr>
        <w:t xml:space="preserve"> ESA-NASA MAGIC Working Group (MGW)</w:t>
      </w:r>
      <w:r w:rsidR="00E76BAB">
        <w:rPr>
          <w:rFonts w:asciiTheme="minorHAnsi" w:hAnsiTheme="minorHAnsi" w:cstheme="minorHAnsi"/>
          <w:sz w:val="20"/>
          <w:szCs w:val="22"/>
        </w:rPr>
        <w:t>,</w:t>
      </w:r>
    </w:p>
    <w:p w14:paraId="0DC751D7" w14:textId="06B7E58D" w:rsidR="002900D2" w:rsidRPr="005F4135" w:rsidRDefault="002900D2" w:rsidP="002900D2">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sidRPr="00BD1359">
        <w:rPr>
          <w:rFonts w:asciiTheme="minorHAnsi" w:hAnsiTheme="minorHAnsi" w:cstheme="minorHAnsi"/>
          <w:sz w:val="20"/>
          <w:szCs w:val="22"/>
        </w:rPr>
        <w:t xml:space="preserve">Maximising the cooperation and coordination </w:t>
      </w:r>
      <w:r>
        <w:rPr>
          <w:rFonts w:asciiTheme="minorHAnsi" w:hAnsiTheme="minorHAnsi" w:cstheme="minorHAnsi"/>
          <w:sz w:val="20"/>
          <w:szCs w:val="22"/>
        </w:rPr>
        <w:t xml:space="preserve">of NGGM </w:t>
      </w:r>
      <w:r w:rsidRPr="00BD1359">
        <w:rPr>
          <w:rFonts w:asciiTheme="minorHAnsi" w:hAnsiTheme="minorHAnsi" w:cstheme="minorHAnsi"/>
          <w:sz w:val="20"/>
          <w:szCs w:val="22"/>
        </w:rPr>
        <w:t xml:space="preserve">with the </w:t>
      </w:r>
      <w:r>
        <w:rPr>
          <w:rFonts w:asciiTheme="minorHAnsi" w:hAnsiTheme="minorHAnsi" w:cstheme="minorHAnsi"/>
          <w:sz w:val="20"/>
          <w:szCs w:val="22"/>
        </w:rPr>
        <w:t>GRACE-C</w:t>
      </w:r>
      <w:r w:rsidRPr="00BD1359">
        <w:rPr>
          <w:rFonts w:asciiTheme="minorHAnsi" w:hAnsiTheme="minorHAnsi" w:cstheme="minorHAnsi"/>
          <w:sz w:val="20"/>
          <w:szCs w:val="22"/>
        </w:rPr>
        <w:t xml:space="preserve"> mission as the first </w:t>
      </w:r>
      <w:r>
        <w:rPr>
          <w:rFonts w:asciiTheme="minorHAnsi" w:hAnsiTheme="minorHAnsi" w:cstheme="minorHAnsi"/>
          <w:sz w:val="20"/>
          <w:szCs w:val="22"/>
        </w:rPr>
        <w:t xml:space="preserve">satellite </w:t>
      </w:r>
      <w:r w:rsidRPr="00BD1359">
        <w:rPr>
          <w:rFonts w:asciiTheme="minorHAnsi" w:hAnsiTheme="minorHAnsi" w:cstheme="minorHAnsi"/>
          <w:sz w:val="20"/>
          <w:szCs w:val="22"/>
        </w:rPr>
        <w:t>pair of MAGIC</w:t>
      </w:r>
      <w:r w:rsidR="006F133E">
        <w:rPr>
          <w:rFonts w:asciiTheme="minorHAnsi" w:hAnsiTheme="minorHAnsi" w:cstheme="minorHAnsi"/>
          <w:sz w:val="20"/>
          <w:szCs w:val="22"/>
        </w:rPr>
        <w:t>,</w:t>
      </w:r>
    </w:p>
    <w:p w14:paraId="18D67FE3" w14:textId="6FC03E90" w:rsidR="00D47CC0" w:rsidRDefault="00D47CC0" w:rsidP="003F597A">
      <w:pPr>
        <w:numPr>
          <w:ilvl w:val="0"/>
          <w:numId w:val="3"/>
        </w:numPr>
        <w:tabs>
          <w:tab w:val="clear" w:pos="1429"/>
        </w:tabs>
        <w:autoSpaceDE w:val="0"/>
        <w:autoSpaceDN w:val="0"/>
        <w:adjustRightInd w:val="0"/>
        <w:spacing w:after="60"/>
        <w:ind w:left="1276" w:hanging="283"/>
        <w:jc w:val="both"/>
        <w:rPr>
          <w:rFonts w:asciiTheme="minorHAnsi" w:hAnsiTheme="minorHAnsi" w:cstheme="minorHAnsi"/>
          <w:sz w:val="20"/>
          <w:szCs w:val="22"/>
        </w:rPr>
      </w:pPr>
      <w:r>
        <w:rPr>
          <w:rFonts w:asciiTheme="minorHAnsi" w:hAnsiTheme="minorHAnsi" w:cstheme="minorHAnsi"/>
          <w:sz w:val="20"/>
          <w:szCs w:val="22"/>
        </w:rPr>
        <w:t xml:space="preserve">Promoting </w:t>
      </w:r>
      <w:r w:rsidR="00661D37">
        <w:rPr>
          <w:rFonts w:asciiTheme="minorHAnsi" w:hAnsiTheme="minorHAnsi" w:cstheme="minorHAnsi"/>
          <w:sz w:val="20"/>
          <w:szCs w:val="22"/>
        </w:rPr>
        <w:t xml:space="preserve">NGGM and MAGIC </w:t>
      </w:r>
      <w:r>
        <w:rPr>
          <w:rFonts w:asciiTheme="minorHAnsi" w:hAnsiTheme="minorHAnsi" w:cstheme="minorHAnsi"/>
          <w:sz w:val="20"/>
          <w:szCs w:val="22"/>
        </w:rPr>
        <w:t>using pres</w:t>
      </w:r>
      <w:r w:rsidR="00892A67">
        <w:rPr>
          <w:rFonts w:asciiTheme="minorHAnsi" w:hAnsiTheme="minorHAnsi" w:cstheme="minorHAnsi"/>
          <w:sz w:val="20"/>
          <w:szCs w:val="22"/>
        </w:rPr>
        <w:t>entations and publications</w:t>
      </w:r>
      <w:r w:rsidR="00F06CEB">
        <w:rPr>
          <w:rFonts w:asciiTheme="minorHAnsi" w:hAnsiTheme="minorHAnsi" w:cstheme="minorHAnsi"/>
          <w:sz w:val="20"/>
          <w:szCs w:val="22"/>
        </w:rPr>
        <w:t>.</w:t>
      </w:r>
    </w:p>
    <w:p w14:paraId="58E0E0CD" w14:textId="77777777" w:rsidR="002217F3" w:rsidRDefault="002217F3" w:rsidP="002217F3">
      <w:pPr>
        <w:pStyle w:val="ListParagraph"/>
        <w:tabs>
          <w:tab w:val="left" w:pos="426"/>
        </w:tabs>
        <w:spacing w:after="120"/>
        <w:ind w:left="360"/>
        <w:jc w:val="both"/>
        <w:rPr>
          <w:rFonts w:asciiTheme="minorHAnsi" w:hAnsiTheme="minorHAnsi" w:cstheme="minorHAnsi"/>
          <w:sz w:val="20"/>
          <w:szCs w:val="22"/>
        </w:rPr>
      </w:pPr>
    </w:p>
    <w:p w14:paraId="47B17F6C" w14:textId="243D25D3" w:rsidR="00807C60" w:rsidRDefault="00F06CEB" w:rsidP="00292B36">
      <w:pPr>
        <w:pStyle w:val="ListParagraph"/>
        <w:numPr>
          <w:ilvl w:val="0"/>
          <w:numId w:val="5"/>
        </w:numPr>
        <w:tabs>
          <w:tab w:val="left" w:pos="426"/>
        </w:tabs>
        <w:spacing w:after="120"/>
        <w:jc w:val="both"/>
        <w:rPr>
          <w:rFonts w:asciiTheme="minorHAnsi" w:hAnsiTheme="minorHAnsi" w:cstheme="minorHAnsi"/>
          <w:sz w:val="20"/>
          <w:szCs w:val="22"/>
        </w:rPr>
      </w:pPr>
      <w:r w:rsidRPr="007C1F0A">
        <w:rPr>
          <w:rFonts w:asciiTheme="minorHAnsi" w:hAnsiTheme="minorHAnsi" w:cstheme="minorHAnsi"/>
          <w:sz w:val="20"/>
          <w:szCs w:val="22"/>
        </w:rPr>
        <w:t>MAG m</w:t>
      </w:r>
      <w:r w:rsidR="007E490F" w:rsidRPr="007C1F0A">
        <w:rPr>
          <w:rFonts w:asciiTheme="minorHAnsi" w:hAnsiTheme="minorHAnsi" w:cstheme="minorHAnsi"/>
          <w:sz w:val="20"/>
          <w:szCs w:val="22"/>
        </w:rPr>
        <w:t>embers</w:t>
      </w:r>
      <w:r w:rsidR="001729DE" w:rsidRPr="007C1F0A">
        <w:rPr>
          <w:rFonts w:asciiTheme="minorHAnsi" w:hAnsiTheme="minorHAnsi" w:cstheme="minorHAnsi"/>
          <w:sz w:val="20"/>
          <w:szCs w:val="22"/>
        </w:rPr>
        <w:t xml:space="preserve"> may be asked, within reasonable effort, to help generating documentation or presentation material</w:t>
      </w:r>
      <w:r w:rsidR="00292B36">
        <w:rPr>
          <w:rFonts w:asciiTheme="minorHAnsi" w:hAnsiTheme="minorHAnsi" w:cstheme="minorHAnsi"/>
          <w:sz w:val="20"/>
          <w:szCs w:val="22"/>
        </w:rPr>
        <w:t xml:space="preserve"> </w:t>
      </w:r>
      <w:r w:rsidR="00931FA6" w:rsidRPr="007C1F0A">
        <w:rPr>
          <w:rFonts w:asciiTheme="minorHAnsi" w:hAnsiTheme="minorHAnsi" w:cstheme="minorHAnsi"/>
          <w:sz w:val="20"/>
          <w:szCs w:val="22"/>
        </w:rPr>
        <w:t>to be used by the Agency for the purpose of developing the mission.</w:t>
      </w:r>
    </w:p>
    <w:p w14:paraId="46622B67" w14:textId="77777777" w:rsidR="002217F3" w:rsidRPr="007C1F0A" w:rsidRDefault="002217F3" w:rsidP="002217F3">
      <w:pPr>
        <w:pStyle w:val="ListParagraph"/>
        <w:tabs>
          <w:tab w:val="left" w:pos="426"/>
        </w:tabs>
        <w:spacing w:after="120"/>
        <w:ind w:left="360"/>
        <w:jc w:val="both"/>
        <w:rPr>
          <w:rFonts w:asciiTheme="minorHAnsi" w:hAnsiTheme="minorHAnsi" w:cstheme="minorHAnsi"/>
          <w:sz w:val="20"/>
          <w:szCs w:val="22"/>
        </w:rPr>
      </w:pPr>
    </w:p>
    <w:p w14:paraId="500A1DFC" w14:textId="77CA2F13" w:rsidR="002217F3" w:rsidRPr="008209E6" w:rsidRDefault="00AF51D2" w:rsidP="002217F3">
      <w:pPr>
        <w:pStyle w:val="ListParagraph"/>
        <w:numPr>
          <w:ilvl w:val="0"/>
          <w:numId w:val="5"/>
        </w:numPr>
        <w:tabs>
          <w:tab w:val="left" w:pos="426"/>
        </w:tabs>
        <w:spacing w:after="120"/>
        <w:jc w:val="both"/>
        <w:rPr>
          <w:rFonts w:asciiTheme="minorHAnsi" w:hAnsiTheme="minorHAnsi" w:cstheme="minorHAnsi"/>
          <w:sz w:val="20"/>
          <w:szCs w:val="22"/>
        </w:rPr>
      </w:pPr>
      <w:r w:rsidRPr="008209E6">
        <w:rPr>
          <w:rFonts w:asciiTheme="minorHAnsi" w:hAnsiTheme="minorHAnsi" w:cstheme="minorHAnsi"/>
          <w:sz w:val="20"/>
          <w:szCs w:val="22"/>
        </w:rPr>
        <w:t>Members will be expected to meet on an ad-hoc basis up to four times a year, as needed.</w:t>
      </w:r>
      <w:r w:rsidR="00807C60" w:rsidRPr="008209E6">
        <w:rPr>
          <w:rFonts w:asciiTheme="minorHAnsi" w:hAnsiTheme="minorHAnsi" w:cstheme="minorHAnsi"/>
          <w:sz w:val="20"/>
          <w:szCs w:val="22"/>
        </w:rPr>
        <w:t xml:space="preserve"> </w:t>
      </w:r>
    </w:p>
    <w:p w14:paraId="7B8FA06B" w14:textId="77777777" w:rsidR="002217F3" w:rsidRPr="007C1F0A" w:rsidRDefault="002217F3" w:rsidP="002217F3">
      <w:pPr>
        <w:pStyle w:val="ListParagraph"/>
        <w:tabs>
          <w:tab w:val="left" w:pos="426"/>
        </w:tabs>
        <w:spacing w:after="120"/>
        <w:ind w:left="360"/>
        <w:jc w:val="both"/>
        <w:rPr>
          <w:rFonts w:asciiTheme="minorHAnsi" w:hAnsiTheme="minorHAnsi" w:cstheme="minorHAnsi"/>
          <w:sz w:val="20"/>
          <w:szCs w:val="22"/>
        </w:rPr>
      </w:pPr>
    </w:p>
    <w:p w14:paraId="593D0725" w14:textId="268C6890" w:rsidR="00807C60" w:rsidRDefault="00807C60" w:rsidP="00292B36">
      <w:pPr>
        <w:pStyle w:val="ListParagraph"/>
        <w:numPr>
          <w:ilvl w:val="0"/>
          <w:numId w:val="5"/>
        </w:numPr>
        <w:tabs>
          <w:tab w:val="left" w:pos="426"/>
          <w:tab w:val="left" w:pos="7655"/>
        </w:tabs>
        <w:spacing w:after="120"/>
        <w:jc w:val="both"/>
        <w:rPr>
          <w:rFonts w:asciiTheme="minorHAnsi" w:hAnsiTheme="minorHAnsi" w:cstheme="minorHAnsi"/>
          <w:sz w:val="20"/>
          <w:szCs w:val="22"/>
        </w:rPr>
      </w:pPr>
      <w:r w:rsidRPr="007C1F0A">
        <w:rPr>
          <w:rFonts w:asciiTheme="minorHAnsi" w:hAnsiTheme="minorHAnsi" w:cstheme="minorHAnsi"/>
          <w:sz w:val="20"/>
          <w:szCs w:val="22"/>
        </w:rPr>
        <w:t>Membership of the Group is not supported by consultancy contracts, though the Agency will cover necessary travel and subsistence</w:t>
      </w:r>
      <w:r w:rsidR="008D46B9" w:rsidRPr="007C1F0A">
        <w:rPr>
          <w:rFonts w:ascii="Calibri" w:hAnsi="Calibri" w:cs="Georgia"/>
          <w:sz w:val="20"/>
          <w:szCs w:val="22"/>
        </w:rPr>
        <w:t>*</w:t>
      </w:r>
      <w:r w:rsidRPr="007C1F0A">
        <w:rPr>
          <w:rFonts w:asciiTheme="minorHAnsi" w:hAnsiTheme="minorHAnsi" w:cstheme="minorHAnsi"/>
          <w:sz w:val="20"/>
          <w:szCs w:val="22"/>
        </w:rPr>
        <w:t xml:space="preserve">. Exceptions may occur when specific tasks require </w:t>
      </w:r>
      <w:proofErr w:type="gramStart"/>
      <w:r w:rsidRPr="007C1F0A">
        <w:rPr>
          <w:rFonts w:asciiTheme="minorHAnsi" w:hAnsiTheme="minorHAnsi" w:cstheme="minorHAnsi"/>
          <w:sz w:val="20"/>
          <w:szCs w:val="22"/>
        </w:rPr>
        <w:t>particular effort</w:t>
      </w:r>
      <w:proofErr w:type="gramEnd"/>
      <w:r w:rsidR="007E490F" w:rsidRPr="007C1F0A">
        <w:rPr>
          <w:rFonts w:asciiTheme="minorHAnsi" w:hAnsiTheme="minorHAnsi" w:cstheme="minorHAnsi"/>
          <w:sz w:val="20"/>
          <w:szCs w:val="22"/>
        </w:rPr>
        <w:t xml:space="preserve"> or when members are involved in scientific study contracts</w:t>
      </w:r>
      <w:r w:rsidR="008D46B9" w:rsidRPr="007C1F0A">
        <w:rPr>
          <w:rFonts w:ascii="Calibri" w:hAnsi="Calibri" w:cs="Georgia"/>
          <w:sz w:val="20"/>
          <w:szCs w:val="22"/>
        </w:rPr>
        <w:t>**</w:t>
      </w:r>
      <w:r w:rsidRPr="007C1F0A">
        <w:rPr>
          <w:rFonts w:asciiTheme="minorHAnsi" w:hAnsiTheme="minorHAnsi" w:cstheme="minorHAnsi"/>
          <w:sz w:val="20"/>
          <w:szCs w:val="22"/>
        </w:rPr>
        <w:t>.</w:t>
      </w:r>
    </w:p>
    <w:p w14:paraId="12CEFF13" w14:textId="77777777" w:rsidR="002217F3" w:rsidRPr="007C1F0A" w:rsidRDefault="002217F3" w:rsidP="002217F3">
      <w:pPr>
        <w:pStyle w:val="ListParagraph"/>
        <w:tabs>
          <w:tab w:val="left" w:pos="426"/>
          <w:tab w:val="left" w:pos="7655"/>
        </w:tabs>
        <w:spacing w:after="120"/>
        <w:ind w:left="360"/>
        <w:jc w:val="both"/>
        <w:rPr>
          <w:rFonts w:asciiTheme="minorHAnsi" w:hAnsiTheme="minorHAnsi" w:cstheme="minorHAnsi"/>
          <w:sz w:val="20"/>
          <w:szCs w:val="22"/>
        </w:rPr>
      </w:pPr>
    </w:p>
    <w:p w14:paraId="16C28941" w14:textId="215CA1FE" w:rsidR="002217F3" w:rsidRPr="004575B7" w:rsidRDefault="00D777C7" w:rsidP="004575B7">
      <w:pPr>
        <w:pStyle w:val="ListParagraph"/>
        <w:numPr>
          <w:ilvl w:val="0"/>
          <w:numId w:val="5"/>
        </w:numPr>
        <w:tabs>
          <w:tab w:val="left" w:pos="426"/>
          <w:tab w:val="left" w:pos="7655"/>
        </w:tabs>
        <w:spacing w:after="120"/>
        <w:jc w:val="both"/>
        <w:rPr>
          <w:rFonts w:asciiTheme="minorHAnsi" w:hAnsiTheme="minorHAnsi" w:cstheme="minorHAnsi"/>
          <w:sz w:val="20"/>
          <w:szCs w:val="22"/>
        </w:rPr>
      </w:pPr>
      <w:r w:rsidRPr="007C1F0A">
        <w:rPr>
          <w:rFonts w:asciiTheme="minorHAnsi" w:hAnsiTheme="minorHAnsi" w:cstheme="minorHAnsi"/>
          <w:sz w:val="20"/>
          <w:szCs w:val="22"/>
        </w:rPr>
        <w:lastRenderedPageBreak/>
        <w:t xml:space="preserve">Membership of the Group is expected to last </w:t>
      </w:r>
      <w:r w:rsidR="00B429DC" w:rsidRPr="007C1F0A">
        <w:rPr>
          <w:rFonts w:asciiTheme="minorHAnsi" w:hAnsiTheme="minorHAnsi" w:cstheme="minorHAnsi"/>
          <w:sz w:val="20"/>
          <w:szCs w:val="22"/>
          <w:lang w:eastAsia="en-GB"/>
        </w:rPr>
        <w:t xml:space="preserve">from the </w:t>
      </w:r>
      <w:r w:rsidR="00940EDC">
        <w:rPr>
          <w:rFonts w:asciiTheme="minorHAnsi" w:hAnsiTheme="minorHAnsi" w:cstheme="minorHAnsi"/>
          <w:sz w:val="20"/>
          <w:szCs w:val="22"/>
          <w:lang w:eastAsia="en-GB"/>
        </w:rPr>
        <w:t xml:space="preserve">advance </w:t>
      </w:r>
      <w:r w:rsidR="00B6711F">
        <w:rPr>
          <w:rFonts w:asciiTheme="minorHAnsi" w:hAnsiTheme="minorHAnsi" w:cstheme="minorHAnsi"/>
          <w:sz w:val="20"/>
          <w:szCs w:val="22"/>
          <w:lang w:eastAsia="en-GB"/>
        </w:rPr>
        <w:t>Phase </w:t>
      </w:r>
      <w:r w:rsidR="00940EDC">
        <w:rPr>
          <w:rFonts w:asciiTheme="minorHAnsi" w:hAnsiTheme="minorHAnsi" w:cstheme="minorHAnsi"/>
          <w:sz w:val="20"/>
          <w:szCs w:val="22"/>
          <w:lang w:eastAsia="en-GB"/>
        </w:rPr>
        <w:t>B2</w:t>
      </w:r>
      <w:r w:rsidR="00B429DC" w:rsidRPr="007C1F0A">
        <w:rPr>
          <w:rFonts w:asciiTheme="minorHAnsi" w:hAnsiTheme="minorHAnsi" w:cstheme="minorHAnsi"/>
          <w:sz w:val="20"/>
          <w:szCs w:val="22"/>
          <w:lang w:eastAsia="en-GB"/>
        </w:rPr>
        <w:t xml:space="preserve"> to </w:t>
      </w:r>
      <w:r w:rsidR="00B6711F">
        <w:rPr>
          <w:rFonts w:asciiTheme="minorHAnsi" w:hAnsiTheme="minorHAnsi" w:cstheme="minorHAnsi"/>
          <w:sz w:val="20"/>
          <w:szCs w:val="22"/>
          <w:lang w:eastAsia="en-GB"/>
        </w:rPr>
        <w:t>Phase </w:t>
      </w:r>
      <w:r w:rsidR="00B429DC" w:rsidRPr="007C1F0A">
        <w:rPr>
          <w:rFonts w:asciiTheme="minorHAnsi" w:hAnsiTheme="minorHAnsi" w:cstheme="minorHAnsi"/>
          <w:sz w:val="20"/>
          <w:szCs w:val="22"/>
          <w:lang w:eastAsia="en-GB"/>
        </w:rPr>
        <w:t>B2 and into the development phase</w:t>
      </w:r>
      <w:r w:rsidRPr="007C1F0A">
        <w:rPr>
          <w:rFonts w:asciiTheme="minorHAnsi" w:hAnsiTheme="minorHAnsi" w:cstheme="minorHAnsi"/>
          <w:sz w:val="20"/>
          <w:szCs w:val="22"/>
          <w:lang w:eastAsia="en-GB"/>
        </w:rPr>
        <w:t xml:space="preserve">. </w:t>
      </w:r>
      <w:r w:rsidR="004443A4" w:rsidRPr="007C1F0A">
        <w:rPr>
          <w:rFonts w:asciiTheme="minorHAnsi" w:hAnsiTheme="minorHAnsi" w:cstheme="minorHAnsi"/>
          <w:sz w:val="20"/>
          <w:szCs w:val="22"/>
          <w:lang w:eastAsia="en-GB"/>
        </w:rPr>
        <w:t>Group m</w:t>
      </w:r>
      <w:r w:rsidRPr="007C1F0A">
        <w:rPr>
          <w:rFonts w:asciiTheme="minorHAnsi" w:hAnsiTheme="minorHAnsi" w:cstheme="minorHAnsi"/>
          <w:sz w:val="20"/>
          <w:szCs w:val="22"/>
          <w:lang w:eastAsia="en-GB"/>
        </w:rPr>
        <w:t xml:space="preserve">embership and the </w:t>
      </w:r>
      <w:r w:rsidR="004443A4" w:rsidRPr="007C1F0A">
        <w:rPr>
          <w:rFonts w:asciiTheme="minorHAnsi" w:hAnsiTheme="minorHAnsi" w:cstheme="minorHAnsi"/>
          <w:sz w:val="20"/>
          <w:szCs w:val="22"/>
          <w:lang w:eastAsia="en-GB"/>
        </w:rPr>
        <w:t>T</w:t>
      </w:r>
      <w:r w:rsidRPr="007C1F0A">
        <w:rPr>
          <w:rFonts w:asciiTheme="minorHAnsi" w:hAnsiTheme="minorHAnsi" w:cstheme="minorHAnsi"/>
          <w:sz w:val="20"/>
          <w:szCs w:val="22"/>
          <w:lang w:eastAsia="en-GB"/>
        </w:rPr>
        <w:t xml:space="preserve">erms of </w:t>
      </w:r>
      <w:r w:rsidR="004443A4" w:rsidRPr="007C1F0A">
        <w:rPr>
          <w:rFonts w:asciiTheme="minorHAnsi" w:hAnsiTheme="minorHAnsi" w:cstheme="minorHAnsi"/>
          <w:sz w:val="20"/>
          <w:szCs w:val="22"/>
          <w:lang w:eastAsia="en-GB"/>
        </w:rPr>
        <w:t>R</w:t>
      </w:r>
      <w:r w:rsidRPr="007C1F0A">
        <w:rPr>
          <w:rFonts w:asciiTheme="minorHAnsi" w:hAnsiTheme="minorHAnsi" w:cstheme="minorHAnsi"/>
          <w:sz w:val="20"/>
          <w:szCs w:val="22"/>
          <w:lang w:eastAsia="en-GB"/>
        </w:rPr>
        <w:t xml:space="preserve">eference will be reviewed </w:t>
      </w:r>
      <w:r w:rsidR="004443A4" w:rsidRPr="007C1F0A">
        <w:rPr>
          <w:rFonts w:asciiTheme="minorHAnsi" w:hAnsiTheme="minorHAnsi" w:cstheme="minorHAnsi"/>
          <w:sz w:val="20"/>
          <w:szCs w:val="22"/>
          <w:lang w:eastAsia="en-GB"/>
        </w:rPr>
        <w:t>after the Critical Design Review (CDR), i.e. at the end of Phase</w:t>
      </w:r>
      <w:r w:rsidR="00B6711F">
        <w:rPr>
          <w:rFonts w:asciiTheme="minorHAnsi" w:hAnsiTheme="minorHAnsi" w:cstheme="minorHAnsi"/>
          <w:sz w:val="20"/>
          <w:szCs w:val="22"/>
          <w:lang w:eastAsia="en-GB"/>
        </w:rPr>
        <w:t> </w:t>
      </w:r>
      <w:r w:rsidR="004443A4" w:rsidRPr="007C1F0A">
        <w:rPr>
          <w:rFonts w:asciiTheme="minorHAnsi" w:hAnsiTheme="minorHAnsi" w:cstheme="minorHAnsi"/>
          <w:sz w:val="20"/>
          <w:szCs w:val="22"/>
          <w:lang w:eastAsia="en-GB"/>
        </w:rPr>
        <w:t>C</w:t>
      </w:r>
      <w:r w:rsidR="00214309" w:rsidRPr="007C1F0A">
        <w:rPr>
          <w:rFonts w:asciiTheme="minorHAnsi" w:hAnsiTheme="minorHAnsi" w:cstheme="minorHAnsi"/>
          <w:sz w:val="20"/>
          <w:szCs w:val="22"/>
        </w:rPr>
        <w:t xml:space="preserve">. </w:t>
      </w:r>
    </w:p>
    <w:p w14:paraId="164CAE2C" w14:textId="77777777" w:rsidR="002217F3" w:rsidRPr="007C1F0A" w:rsidRDefault="002217F3" w:rsidP="002217F3">
      <w:pPr>
        <w:pStyle w:val="ListParagraph"/>
        <w:tabs>
          <w:tab w:val="left" w:pos="426"/>
          <w:tab w:val="left" w:pos="7655"/>
        </w:tabs>
        <w:spacing w:after="120"/>
        <w:ind w:left="360"/>
        <w:jc w:val="both"/>
        <w:rPr>
          <w:rFonts w:asciiTheme="minorHAnsi" w:hAnsiTheme="minorHAnsi" w:cstheme="minorHAnsi"/>
          <w:sz w:val="20"/>
          <w:szCs w:val="22"/>
        </w:rPr>
      </w:pPr>
    </w:p>
    <w:p w14:paraId="2502BFA4" w14:textId="70E29FBA" w:rsidR="00576F27" w:rsidRPr="00576F27" w:rsidRDefault="00F0574F" w:rsidP="00292B36">
      <w:pPr>
        <w:pStyle w:val="ListParagraph"/>
        <w:numPr>
          <w:ilvl w:val="0"/>
          <w:numId w:val="5"/>
        </w:numPr>
        <w:tabs>
          <w:tab w:val="left" w:pos="426"/>
          <w:tab w:val="left" w:pos="7655"/>
        </w:tabs>
        <w:spacing w:after="120"/>
        <w:jc w:val="both"/>
        <w:rPr>
          <w:rStyle w:val="CommentReference"/>
          <w:rFonts w:asciiTheme="minorHAnsi" w:hAnsiTheme="minorHAnsi" w:cstheme="minorHAnsi"/>
          <w:sz w:val="20"/>
          <w:szCs w:val="22"/>
        </w:rPr>
      </w:pPr>
      <w:r w:rsidRPr="00F0574F">
        <w:rPr>
          <w:rFonts w:asciiTheme="minorHAnsi" w:hAnsiTheme="minorHAnsi" w:cstheme="minorHAnsi"/>
          <w:sz w:val="20"/>
          <w:szCs w:val="22"/>
        </w:rPr>
        <w:t xml:space="preserve">Any member of this </w:t>
      </w:r>
      <w:r w:rsidR="00ED342F">
        <w:rPr>
          <w:rFonts w:asciiTheme="minorHAnsi" w:hAnsiTheme="minorHAnsi" w:cstheme="minorHAnsi"/>
          <w:sz w:val="20"/>
          <w:szCs w:val="22"/>
        </w:rPr>
        <w:t>G</w:t>
      </w:r>
      <w:r w:rsidRPr="00F0574F">
        <w:rPr>
          <w:rFonts w:asciiTheme="minorHAnsi" w:hAnsiTheme="minorHAnsi" w:cstheme="minorHAnsi"/>
          <w:sz w:val="20"/>
          <w:szCs w:val="22"/>
        </w:rPr>
        <w:t>roup shall be obliged to declare any potential conflict of interest in relation to this activity.</w:t>
      </w:r>
      <w:r>
        <w:rPr>
          <w:rFonts w:asciiTheme="minorHAnsi" w:hAnsiTheme="minorHAnsi" w:cstheme="minorHAnsi"/>
          <w:sz w:val="20"/>
          <w:szCs w:val="22"/>
        </w:rPr>
        <w:t xml:space="preserve"> </w:t>
      </w:r>
    </w:p>
    <w:p w14:paraId="757EB78A" w14:textId="77777777" w:rsidR="00576F27" w:rsidRPr="00576F27" w:rsidRDefault="00576F27" w:rsidP="00576F27">
      <w:pPr>
        <w:pStyle w:val="ListParagraph"/>
        <w:rPr>
          <w:rFonts w:asciiTheme="minorHAnsi" w:hAnsiTheme="minorHAnsi" w:cstheme="minorHAnsi"/>
          <w:sz w:val="20"/>
          <w:szCs w:val="22"/>
          <w:highlight w:val="yellow"/>
        </w:rPr>
      </w:pPr>
    </w:p>
    <w:p w14:paraId="1B7D3070" w14:textId="498D8243" w:rsidR="00510349" w:rsidRPr="0088218C" w:rsidRDefault="00510349" w:rsidP="00292B36">
      <w:pPr>
        <w:pStyle w:val="ListParagraph"/>
        <w:numPr>
          <w:ilvl w:val="0"/>
          <w:numId w:val="5"/>
        </w:numPr>
        <w:tabs>
          <w:tab w:val="left" w:pos="426"/>
          <w:tab w:val="left" w:pos="7655"/>
        </w:tabs>
        <w:spacing w:after="120"/>
        <w:jc w:val="both"/>
        <w:rPr>
          <w:rFonts w:asciiTheme="minorHAnsi" w:hAnsiTheme="minorHAnsi" w:cstheme="minorHAnsi"/>
          <w:sz w:val="20"/>
          <w:szCs w:val="22"/>
        </w:rPr>
      </w:pPr>
      <w:r w:rsidRPr="0088218C">
        <w:rPr>
          <w:rFonts w:asciiTheme="minorHAnsi" w:hAnsiTheme="minorHAnsi" w:cstheme="minorHAnsi"/>
          <w:sz w:val="20"/>
          <w:szCs w:val="22"/>
        </w:rPr>
        <w:t xml:space="preserve">A member of the </w:t>
      </w:r>
      <w:r w:rsidR="00ED342F" w:rsidRPr="0088218C">
        <w:rPr>
          <w:rFonts w:asciiTheme="minorHAnsi" w:hAnsiTheme="minorHAnsi" w:cstheme="minorHAnsi"/>
          <w:sz w:val="20"/>
          <w:szCs w:val="22"/>
        </w:rPr>
        <w:t>G</w:t>
      </w:r>
      <w:r w:rsidRPr="0088218C">
        <w:rPr>
          <w:rFonts w:asciiTheme="minorHAnsi" w:hAnsiTheme="minorHAnsi" w:cstheme="minorHAnsi"/>
          <w:sz w:val="20"/>
          <w:szCs w:val="22"/>
        </w:rPr>
        <w:t>roup cannot be a member of, or</w:t>
      </w:r>
      <w:r w:rsidR="00ED342F" w:rsidRPr="0088218C">
        <w:rPr>
          <w:rFonts w:asciiTheme="minorHAnsi" w:hAnsiTheme="minorHAnsi" w:cstheme="minorHAnsi"/>
          <w:sz w:val="20"/>
          <w:szCs w:val="22"/>
        </w:rPr>
        <w:t xml:space="preserve"> advisor to, or</w:t>
      </w:r>
      <w:r w:rsidRPr="0088218C">
        <w:rPr>
          <w:rFonts w:asciiTheme="minorHAnsi" w:hAnsiTheme="minorHAnsi" w:cstheme="minorHAnsi"/>
          <w:sz w:val="20"/>
          <w:szCs w:val="22"/>
        </w:rPr>
        <w:t xml:space="preserve"> consultant to, any</w:t>
      </w:r>
      <w:r w:rsidR="005E0FBE" w:rsidRPr="0088218C">
        <w:rPr>
          <w:rFonts w:asciiTheme="minorHAnsi" w:hAnsiTheme="minorHAnsi" w:cstheme="minorHAnsi"/>
          <w:sz w:val="20"/>
          <w:szCs w:val="22"/>
        </w:rPr>
        <w:t xml:space="preserve"> industrial</w:t>
      </w:r>
      <w:r w:rsidRPr="0088218C">
        <w:rPr>
          <w:rFonts w:asciiTheme="minorHAnsi" w:hAnsiTheme="minorHAnsi" w:cstheme="minorHAnsi"/>
          <w:sz w:val="20"/>
          <w:szCs w:val="22"/>
        </w:rPr>
        <w:t xml:space="preserve"> consortium awarded </w:t>
      </w:r>
      <w:r w:rsidR="00562F36" w:rsidRPr="0088218C">
        <w:rPr>
          <w:rFonts w:asciiTheme="minorHAnsi" w:hAnsiTheme="minorHAnsi" w:cstheme="minorHAnsi"/>
          <w:sz w:val="20"/>
          <w:szCs w:val="22"/>
        </w:rPr>
        <w:t>the Phase</w:t>
      </w:r>
      <w:r w:rsidR="003F2EE1">
        <w:rPr>
          <w:rFonts w:asciiTheme="minorHAnsi" w:hAnsiTheme="minorHAnsi" w:cstheme="minorHAnsi"/>
          <w:sz w:val="20"/>
          <w:szCs w:val="22"/>
        </w:rPr>
        <w:t> </w:t>
      </w:r>
      <w:r w:rsidR="00562F36" w:rsidRPr="0088218C">
        <w:rPr>
          <w:rFonts w:asciiTheme="minorHAnsi" w:hAnsiTheme="minorHAnsi" w:cstheme="minorHAnsi"/>
          <w:sz w:val="20"/>
          <w:szCs w:val="22"/>
        </w:rPr>
        <w:t>B2/C/D/E1</w:t>
      </w:r>
      <w:r w:rsidR="009E1301" w:rsidRPr="0088218C">
        <w:rPr>
          <w:rFonts w:asciiTheme="minorHAnsi" w:hAnsiTheme="minorHAnsi" w:cstheme="minorHAnsi"/>
          <w:sz w:val="20"/>
          <w:szCs w:val="22"/>
        </w:rPr>
        <w:t xml:space="preserve"> NGGM </w:t>
      </w:r>
      <w:r w:rsidRPr="0088218C">
        <w:rPr>
          <w:rFonts w:asciiTheme="minorHAnsi" w:hAnsiTheme="minorHAnsi" w:cstheme="minorHAnsi"/>
          <w:sz w:val="20"/>
          <w:szCs w:val="22"/>
        </w:rPr>
        <w:t>industrial contract</w:t>
      </w:r>
      <w:r w:rsidR="00DF475E" w:rsidRPr="0088218C">
        <w:rPr>
          <w:rFonts w:asciiTheme="minorHAnsi" w:hAnsiTheme="minorHAnsi" w:cstheme="minorHAnsi"/>
          <w:sz w:val="20"/>
          <w:szCs w:val="22"/>
        </w:rPr>
        <w:t>s run by ESA</w:t>
      </w:r>
      <w:r w:rsidR="009E1301" w:rsidRPr="0088218C">
        <w:rPr>
          <w:rFonts w:asciiTheme="minorHAnsi" w:hAnsiTheme="minorHAnsi" w:cstheme="minorHAnsi"/>
          <w:sz w:val="20"/>
          <w:szCs w:val="22"/>
        </w:rPr>
        <w:t xml:space="preserve"> or</w:t>
      </w:r>
      <w:r w:rsidR="00DF475E" w:rsidRPr="0088218C">
        <w:rPr>
          <w:rFonts w:asciiTheme="minorHAnsi" w:hAnsiTheme="minorHAnsi" w:cstheme="minorHAnsi"/>
          <w:sz w:val="20"/>
          <w:szCs w:val="22"/>
        </w:rPr>
        <w:t xml:space="preserve"> any</w:t>
      </w:r>
      <w:r w:rsidR="009E1301" w:rsidRPr="0088218C">
        <w:rPr>
          <w:rFonts w:asciiTheme="minorHAnsi" w:hAnsiTheme="minorHAnsi" w:cstheme="minorHAnsi"/>
          <w:sz w:val="20"/>
          <w:szCs w:val="22"/>
        </w:rPr>
        <w:t xml:space="preserve"> other industrial contracts related to </w:t>
      </w:r>
      <w:r w:rsidR="00D37179" w:rsidRPr="0088218C">
        <w:rPr>
          <w:rFonts w:asciiTheme="minorHAnsi" w:hAnsiTheme="minorHAnsi" w:cstheme="minorHAnsi"/>
          <w:sz w:val="20"/>
          <w:szCs w:val="22"/>
        </w:rPr>
        <w:t xml:space="preserve">GRACE-C first pair of </w:t>
      </w:r>
      <w:r w:rsidR="009E1301" w:rsidRPr="0088218C">
        <w:rPr>
          <w:rFonts w:asciiTheme="minorHAnsi" w:hAnsiTheme="minorHAnsi" w:cstheme="minorHAnsi"/>
          <w:sz w:val="20"/>
          <w:szCs w:val="22"/>
        </w:rPr>
        <w:t>MAGIC.</w:t>
      </w:r>
      <w:r w:rsidRPr="0088218C">
        <w:rPr>
          <w:rFonts w:asciiTheme="minorHAnsi" w:hAnsiTheme="minorHAnsi" w:cstheme="minorHAnsi"/>
          <w:sz w:val="20"/>
          <w:szCs w:val="22"/>
        </w:rPr>
        <w:t xml:space="preserve"> </w:t>
      </w:r>
    </w:p>
    <w:p w14:paraId="532AF467" w14:textId="77777777" w:rsidR="002217F3" w:rsidRPr="007C1F0A" w:rsidRDefault="002217F3" w:rsidP="002217F3">
      <w:pPr>
        <w:pStyle w:val="ListParagraph"/>
        <w:tabs>
          <w:tab w:val="left" w:pos="426"/>
          <w:tab w:val="left" w:pos="7655"/>
        </w:tabs>
        <w:spacing w:after="120"/>
        <w:ind w:left="360"/>
        <w:jc w:val="both"/>
        <w:rPr>
          <w:rFonts w:asciiTheme="minorHAnsi" w:hAnsiTheme="minorHAnsi" w:cstheme="minorHAnsi"/>
          <w:sz w:val="20"/>
          <w:szCs w:val="22"/>
        </w:rPr>
      </w:pPr>
    </w:p>
    <w:p w14:paraId="140053C5" w14:textId="1CE5BE1B" w:rsidR="00C9251D" w:rsidRDefault="00510349" w:rsidP="00292B36">
      <w:pPr>
        <w:pStyle w:val="ListParagraph"/>
        <w:numPr>
          <w:ilvl w:val="0"/>
          <w:numId w:val="5"/>
        </w:numPr>
        <w:tabs>
          <w:tab w:val="left" w:pos="426"/>
        </w:tabs>
        <w:spacing w:after="120"/>
        <w:jc w:val="both"/>
        <w:rPr>
          <w:rFonts w:asciiTheme="minorHAnsi" w:hAnsiTheme="minorHAnsi" w:cstheme="minorHAnsi"/>
          <w:sz w:val="20"/>
          <w:szCs w:val="22"/>
        </w:rPr>
      </w:pPr>
      <w:r w:rsidRPr="007C1F0A">
        <w:rPr>
          <w:rFonts w:asciiTheme="minorHAnsi" w:hAnsiTheme="minorHAnsi" w:cstheme="minorHAnsi"/>
          <w:sz w:val="20"/>
          <w:szCs w:val="22"/>
        </w:rPr>
        <w:t>A member of the group shall be independent from ESA Advisory Boards to Earth Observation Programmes, which comprise Member State Delegates (e.g. Programme Board for Earth Observation, and the Data Operations, Scientific and Technical Advisory Group). Members shall not be Delegates or engaged in an advisory capacity to Member State Delegations.</w:t>
      </w:r>
    </w:p>
    <w:p w14:paraId="433FE440" w14:textId="77777777" w:rsidR="002217F3" w:rsidRPr="007C1F0A" w:rsidRDefault="002217F3" w:rsidP="002217F3">
      <w:pPr>
        <w:pStyle w:val="ListParagraph"/>
        <w:tabs>
          <w:tab w:val="left" w:pos="426"/>
        </w:tabs>
        <w:spacing w:after="120"/>
        <w:ind w:left="360"/>
        <w:jc w:val="both"/>
        <w:rPr>
          <w:rFonts w:asciiTheme="minorHAnsi" w:hAnsiTheme="minorHAnsi" w:cstheme="minorHAnsi"/>
          <w:sz w:val="20"/>
          <w:szCs w:val="22"/>
        </w:rPr>
      </w:pPr>
    </w:p>
    <w:p w14:paraId="216F0490" w14:textId="2BA74F41" w:rsidR="00C9251D" w:rsidRDefault="00C9251D" w:rsidP="00292B36">
      <w:pPr>
        <w:pStyle w:val="ListParagraph"/>
        <w:numPr>
          <w:ilvl w:val="0"/>
          <w:numId w:val="5"/>
        </w:numPr>
        <w:tabs>
          <w:tab w:val="left" w:pos="426"/>
        </w:tabs>
        <w:spacing w:after="120"/>
        <w:jc w:val="both"/>
        <w:rPr>
          <w:rFonts w:asciiTheme="minorHAnsi" w:hAnsiTheme="minorHAnsi" w:cstheme="minorHAnsi"/>
          <w:sz w:val="20"/>
          <w:szCs w:val="22"/>
        </w:rPr>
      </w:pPr>
      <w:r w:rsidRPr="007C1F0A">
        <w:rPr>
          <w:rFonts w:asciiTheme="minorHAnsi" w:hAnsiTheme="minorHAnsi" w:cstheme="minorHAnsi"/>
          <w:sz w:val="20"/>
          <w:szCs w:val="22"/>
        </w:rPr>
        <w:t xml:space="preserve">Members of the Group shall sign a </w:t>
      </w:r>
      <w:r w:rsidR="00EC68CF">
        <w:rPr>
          <w:rFonts w:asciiTheme="minorHAnsi" w:hAnsiTheme="minorHAnsi" w:cstheme="minorHAnsi"/>
          <w:sz w:val="20"/>
          <w:szCs w:val="22"/>
        </w:rPr>
        <w:t>N</w:t>
      </w:r>
      <w:r w:rsidRPr="007C1F0A">
        <w:rPr>
          <w:rFonts w:asciiTheme="minorHAnsi" w:hAnsiTheme="minorHAnsi" w:cstheme="minorHAnsi"/>
          <w:sz w:val="20"/>
          <w:szCs w:val="22"/>
        </w:rPr>
        <w:t>on-</w:t>
      </w:r>
      <w:r w:rsidR="00EC68CF">
        <w:rPr>
          <w:rFonts w:asciiTheme="minorHAnsi" w:hAnsiTheme="minorHAnsi" w:cstheme="minorHAnsi"/>
          <w:sz w:val="20"/>
          <w:szCs w:val="22"/>
        </w:rPr>
        <w:t>D</w:t>
      </w:r>
      <w:r w:rsidRPr="007C1F0A">
        <w:rPr>
          <w:rFonts w:asciiTheme="minorHAnsi" w:hAnsiTheme="minorHAnsi" w:cstheme="minorHAnsi"/>
          <w:sz w:val="20"/>
          <w:szCs w:val="22"/>
        </w:rPr>
        <w:t xml:space="preserve">isclosure </w:t>
      </w:r>
      <w:r w:rsidR="00EC68CF">
        <w:rPr>
          <w:rFonts w:asciiTheme="minorHAnsi" w:hAnsiTheme="minorHAnsi" w:cstheme="minorHAnsi"/>
          <w:sz w:val="20"/>
          <w:szCs w:val="22"/>
        </w:rPr>
        <w:t>Understanding (NDU)</w:t>
      </w:r>
      <w:r w:rsidRPr="007C1F0A">
        <w:rPr>
          <w:rFonts w:asciiTheme="minorHAnsi" w:hAnsiTheme="minorHAnsi" w:cstheme="minorHAnsi"/>
          <w:sz w:val="20"/>
          <w:szCs w:val="22"/>
        </w:rPr>
        <w:t xml:space="preserve"> to safeguard proprietary information and intellectual property.</w:t>
      </w:r>
    </w:p>
    <w:p w14:paraId="0327ADA4" w14:textId="77777777" w:rsidR="002217F3" w:rsidRPr="007C1F0A" w:rsidRDefault="002217F3" w:rsidP="002217F3">
      <w:pPr>
        <w:pStyle w:val="ListParagraph"/>
        <w:tabs>
          <w:tab w:val="left" w:pos="426"/>
        </w:tabs>
        <w:spacing w:after="120"/>
        <w:ind w:left="360"/>
        <w:jc w:val="both"/>
        <w:rPr>
          <w:rFonts w:asciiTheme="minorHAnsi" w:hAnsiTheme="minorHAnsi" w:cstheme="minorHAnsi"/>
          <w:sz w:val="20"/>
          <w:szCs w:val="22"/>
        </w:rPr>
      </w:pPr>
    </w:p>
    <w:p w14:paraId="6EE18328" w14:textId="494F216D" w:rsidR="00AF5C6D" w:rsidRPr="007C1F0A" w:rsidRDefault="00EC68CF" w:rsidP="00292B36">
      <w:pPr>
        <w:pStyle w:val="ListParagraph"/>
        <w:numPr>
          <w:ilvl w:val="0"/>
          <w:numId w:val="5"/>
        </w:numPr>
        <w:tabs>
          <w:tab w:val="left" w:pos="426"/>
        </w:tabs>
        <w:spacing w:after="120"/>
        <w:jc w:val="both"/>
        <w:rPr>
          <w:rFonts w:asciiTheme="minorHAnsi" w:hAnsiTheme="minorHAnsi" w:cstheme="minorHAnsi"/>
          <w:sz w:val="20"/>
          <w:szCs w:val="22"/>
        </w:rPr>
      </w:pPr>
      <w:r>
        <w:rPr>
          <w:rFonts w:asciiTheme="minorHAnsi" w:hAnsiTheme="minorHAnsi" w:cstheme="minorHAnsi"/>
          <w:sz w:val="20"/>
          <w:szCs w:val="22"/>
        </w:rPr>
        <w:t>All c</w:t>
      </w:r>
      <w:r w:rsidR="00C9251D" w:rsidRPr="007C1F0A">
        <w:rPr>
          <w:rFonts w:asciiTheme="minorHAnsi" w:hAnsiTheme="minorHAnsi" w:cstheme="minorHAnsi"/>
          <w:sz w:val="20"/>
          <w:szCs w:val="22"/>
        </w:rPr>
        <w:t xml:space="preserve">ommunications, </w:t>
      </w:r>
      <w:r>
        <w:rPr>
          <w:rFonts w:asciiTheme="minorHAnsi" w:hAnsiTheme="minorHAnsi" w:cstheme="minorHAnsi"/>
          <w:sz w:val="20"/>
          <w:szCs w:val="22"/>
        </w:rPr>
        <w:t>P</w:t>
      </w:r>
      <w:r w:rsidR="00C9251D" w:rsidRPr="007C1F0A">
        <w:rPr>
          <w:rFonts w:asciiTheme="minorHAnsi" w:hAnsiTheme="minorHAnsi" w:cstheme="minorHAnsi"/>
          <w:sz w:val="20"/>
          <w:szCs w:val="22"/>
        </w:rPr>
        <w:t xml:space="preserve">ress </w:t>
      </w:r>
      <w:r>
        <w:rPr>
          <w:rFonts w:asciiTheme="minorHAnsi" w:hAnsiTheme="minorHAnsi" w:cstheme="minorHAnsi"/>
          <w:sz w:val="20"/>
          <w:szCs w:val="22"/>
        </w:rPr>
        <w:t>R</w:t>
      </w:r>
      <w:r w:rsidR="00C9251D" w:rsidRPr="007C1F0A">
        <w:rPr>
          <w:rFonts w:asciiTheme="minorHAnsi" w:hAnsiTheme="minorHAnsi" w:cstheme="minorHAnsi"/>
          <w:sz w:val="20"/>
          <w:szCs w:val="22"/>
        </w:rPr>
        <w:t>elease</w:t>
      </w:r>
      <w:r w:rsidR="00C96809">
        <w:rPr>
          <w:rFonts w:asciiTheme="minorHAnsi" w:hAnsiTheme="minorHAnsi" w:cstheme="minorHAnsi"/>
          <w:sz w:val="20"/>
          <w:szCs w:val="22"/>
        </w:rPr>
        <w:t>, P</w:t>
      </w:r>
      <w:r w:rsidR="00C9251D" w:rsidRPr="007C1F0A">
        <w:rPr>
          <w:rFonts w:asciiTheme="minorHAnsi" w:hAnsiTheme="minorHAnsi" w:cstheme="minorHAnsi"/>
          <w:sz w:val="20"/>
          <w:szCs w:val="22"/>
        </w:rPr>
        <w:t>ublication</w:t>
      </w:r>
      <w:r w:rsidR="00C96809">
        <w:rPr>
          <w:rFonts w:asciiTheme="minorHAnsi" w:hAnsiTheme="minorHAnsi" w:cstheme="minorHAnsi"/>
          <w:sz w:val="20"/>
          <w:szCs w:val="22"/>
        </w:rPr>
        <w:t>s or publicly distributed</w:t>
      </w:r>
      <w:r w:rsidR="00C9251D" w:rsidRPr="007C1F0A">
        <w:rPr>
          <w:rFonts w:asciiTheme="minorHAnsi" w:hAnsiTheme="minorHAnsi" w:cstheme="minorHAnsi"/>
          <w:sz w:val="20"/>
          <w:szCs w:val="22"/>
        </w:rPr>
        <w:t xml:space="preserve"> material concerning the </w:t>
      </w:r>
      <w:r w:rsidR="00712FAF" w:rsidRPr="007C1F0A">
        <w:rPr>
          <w:rFonts w:asciiTheme="minorHAnsi" w:hAnsiTheme="minorHAnsi" w:cstheme="minorHAnsi"/>
          <w:sz w:val="20"/>
          <w:szCs w:val="22"/>
        </w:rPr>
        <w:t>Mission of Opportunity</w:t>
      </w:r>
      <w:r w:rsidR="00C9251D" w:rsidRPr="007C1F0A">
        <w:rPr>
          <w:rFonts w:asciiTheme="minorHAnsi" w:hAnsiTheme="minorHAnsi" w:cstheme="minorHAnsi"/>
          <w:sz w:val="20"/>
          <w:szCs w:val="22"/>
        </w:rPr>
        <w:t xml:space="preserve"> shall be discussed and </w:t>
      </w:r>
      <w:r w:rsidR="00C96809">
        <w:rPr>
          <w:rFonts w:asciiTheme="minorHAnsi" w:hAnsiTheme="minorHAnsi" w:cstheme="minorHAnsi"/>
          <w:sz w:val="20"/>
          <w:szCs w:val="22"/>
        </w:rPr>
        <w:t xml:space="preserve">the content </w:t>
      </w:r>
      <w:r w:rsidR="00C9251D" w:rsidRPr="007C1F0A">
        <w:rPr>
          <w:rFonts w:asciiTheme="minorHAnsi" w:hAnsiTheme="minorHAnsi" w:cstheme="minorHAnsi"/>
          <w:sz w:val="20"/>
          <w:szCs w:val="22"/>
        </w:rPr>
        <w:t xml:space="preserve">agreed with the </w:t>
      </w:r>
      <w:r w:rsidR="00C96809">
        <w:rPr>
          <w:rFonts w:asciiTheme="minorHAnsi" w:hAnsiTheme="minorHAnsi" w:cstheme="minorHAnsi"/>
          <w:sz w:val="20"/>
          <w:szCs w:val="22"/>
        </w:rPr>
        <w:t>ESA</w:t>
      </w:r>
      <w:r w:rsidR="00C9251D" w:rsidRPr="007C1F0A">
        <w:rPr>
          <w:rFonts w:asciiTheme="minorHAnsi" w:hAnsiTheme="minorHAnsi" w:cstheme="minorHAnsi"/>
          <w:sz w:val="20"/>
          <w:szCs w:val="22"/>
        </w:rPr>
        <w:t xml:space="preserve"> prior to release.</w:t>
      </w:r>
    </w:p>
    <w:p w14:paraId="05B451B6" w14:textId="71AF5AD4" w:rsidR="00C9426B" w:rsidRPr="004C7D99" w:rsidRDefault="00C9426B" w:rsidP="003F597A">
      <w:pPr>
        <w:tabs>
          <w:tab w:val="left" w:pos="284"/>
        </w:tabs>
        <w:spacing w:after="120"/>
        <w:ind w:left="284" w:hanging="283"/>
        <w:jc w:val="both"/>
        <w:rPr>
          <w:rFonts w:asciiTheme="minorHAnsi" w:hAnsiTheme="minorHAnsi" w:cstheme="minorHAnsi"/>
          <w:sz w:val="20"/>
          <w:szCs w:val="22"/>
        </w:rPr>
      </w:pPr>
    </w:p>
    <w:p w14:paraId="78CA80B5" w14:textId="77777777" w:rsidR="00C9426B" w:rsidRPr="004C7D99" w:rsidRDefault="00C9426B" w:rsidP="003F597A">
      <w:pPr>
        <w:tabs>
          <w:tab w:val="left" w:pos="284"/>
        </w:tabs>
        <w:spacing w:after="120"/>
        <w:ind w:left="284" w:hanging="283"/>
        <w:jc w:val="both"/>
        <w:rPr>
          <w:rFonts w:asciiTheme="minorHAnsi" w:hAnsiTheme="minorHAnsi" w:cstheme="minorHAnsi"/>
          <w:sz w:val="16"/>
          <w:szCs w:val="22"/>
        </w:rPr>
      </w:pPr>
      <w:r w:rsidRPr="004C7D99">
        <w:rPr>
          <w:rFonts w:asciiTheme="minorHAnsi" w:hAnsiTheme="minorHAnsi" w:cstheme="minorHAnsi"/>
          <w:sz w:val="16"/>
          <w:szCs w:val="22"/>
        </w:rPr>
        <w:t>*Subsistence Allowance &amp; Responsibilities of the Agency</w:t>
      </w:r>
    </w:p>
    <w:p w14:paraId="71AC869A" w14:textId="77777777" w:rsidR="009454F3" w:rsidRDefault="00C9426B" w:rsidP="003F597A">
      <w:pPr>
        <w:spacing w:after="200"/>
        <w:jc w:val="both"/>
      </w:pPr>
      <w:r w:rsidRPr="004C7D99">
        <w:rPr>
          <w:rFonts w:asciiTheme="minorHAnsi" w:hAnsiTheme="minorHAnsi" w:cstheme="minorHAnsi"/>
          <w:sz w:val="16"/>
          <w:szCs w:val="22"/>
        </w:rPr>
        <w:t xml:space="preserve">The subsistence allowance (Group II per diem), as paid by the Agency shall be deemed to cover all out-of-pocket expenditure, during the relevant period, </w:t>
      </w:r>
      <w:proofErr w:type="gramStart"/>
      <w:r w:rsidRPr="004C7D99">
        <w:rPr>
          <w:rFonts w:asciiTheme="minorHAnsi" w:hAnsiTheme="minorHAnsi" w:cstheme="minorHAnsi"/>
          <w:sz w:val="16"/>
          <w:szCs w:val="22"/>
        </w:rPr>
        <w:t>with the exception of</w:t>
      </w:r>
      <w:proofErr w:type="gramEnd"/>
      <w:r w:rsidRPr="004C7D99">
        <w:rPr>
          <w:rFonts w:asciiTheme="minorHAnsi" w:hAnsiTheme="minorHAnsi" w:cstheme="minorHAnsi"/>
          <w:sz w:val="16"/>
          <w:szCs w:val="22"/>
        </w:rPr>
        <w:t xml:space="preserve"> travel expenses. These allowances shall be deemed to cover expenditure such as meals and hotels.  ESA assumes no responsibility, or obligation, refund expenses such as personal insurance, medical expenses, and travel documents (except visa). In the absence of submission of the relevant invoice concerning the hotel (or other official or commercial accommodation), the daily subsistence allowance shall be reduced by 50%. The Agency shall only reimburse travel expenses and subsistence to a bank account held in the name of the attendee of a meeting and not to the bank account of his/her institute or company. Travel expenditure and subsistence shall not be paid to those people who have a non-exchange of funds (NEF) agreement with the Agency.</w:t>
      </w:r>
      <w:r w:rsidR="009454F3" w:rsidRPr="009454F3">
        <w:t xml:space="preserve"> </w:t>
      </w:r>
    </w:p>
    <w:p w14:paraId="1EE2D125" w14:textId="4C650BB5" w:rsidR="0012205D" w:rsidRPr="00545110" w:rsidRDefault="009454F3" w:rsidP="003F597A">
      <w:pPr>
        <w:jc w:val="both"/>
        <w:rPr>
          <w:rFonts w:asciiTheme="minorHAnsi" w:hAnsiTheme="minorHAnsi" w:cstheme="minorHAnsi"/>
          <w:sz w:val="22"/>
          <w:szCs w:val="22"/>
        </w:rPr>
      </w:pPr>
      <w:r w:rsidRPr="009454F3">
        <w:rPr>
          <w:rFonts w:asciiTheme="minorHAnsi" w:hAnsiTheme="minorHAnsi" w:cstheme="minorHAnsi"/>
          <w:sz w:val="16"/>
          <w:szCs w:val="22"/>
        </w:rPr>
        <w:t>** In the case of instances where study contract and MAG meetings take place on consecutive days, the ESA study contract reimbursement rules shall take precedence. Although subsistence, if due, will be paid for the days of the MAG meeting</w:t>
      </w:r>
      <w:r>
        <w:rPr>
          <w:rFonts w:asciiTheme="minorHAnsi" w:hAnsiTheme="minorHAnsi" w:cstheme="minorHAnsi"/>
          <w:sz w:val="16"/>
          <w:szCs w:val="22"/>
        </w:rPr>
        <w:t>.</w:t>
      </w:r>
    </w:p>
    <w:sectPr w:rsidR="0012205D" w:rsidRPr="00545110" w:rsidSect="004C7D99">
      <w:headerReference w:type="even" r:id="rId8"/>
      <w:headerReference w:type="default" r:id="rId9"/>
      <w:footerReference w:type="even" r:id="rId10"/>
      <w:footerReference w:type="default" r:id="rId11"/>
      <w:headerReference w:type="first" r:id="rId12"/>
      <w:footerReference w:type="first" r:id="rId13"/>
      <w:pgSz w:w="11899" w:h="16838"/>
      <w:pgMar w:top="1440" w:right="1126"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ACEC" w14:textId="77777777" w:rsidR="00D54B5C" w:rsidRDefault="00D54B5C" w:rsidP="00807C60">
      <w:r>
        <w:separator/>
      </w:r>
    </w:p>
  </w:endnote>
  <w:endnote w:type="continuationSeparator" w:id="0">
    <w:p w14:paraId="25B1CA3D" w14:textId="77777777" w:rsidR="00D54B5C" w:rsidRDefault="00D54B5C" w:rsidP="008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0AB4" w14:textId="77777777" w:rsidR="002B1584" w:rsidRDefault="002B1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0B54" w14:textId="2DF25CA9" w:rsidR="00C9251D" w:rsidRPr="00AF1AE4" w:rsidRDefault="00C9251D" w:rsidP="00AF1AE4">
    <w:pPr>
      <w:pStyle w:val="Footer"/>
      <w:tabs>
        <w:tab w:val="clear" w:pos="4513"/>
        <w:tab w:val="right" w:pos="8222"/>
      </w:tabs>
      <w:rPr>
        <w:rFonts w:ascii="Georgia" w:hAnsi="Georg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2F72" w14:textId="77777777" w:rsidR="002B1584" w:rsidRDefault="002B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A80D" w14:textId="77777777" w:rsidR="00D54B5C" w:rsidRDefault="00D54B5C" w:rsidP="00807C60">
      <w:r>
        <w:separator/>
      </w:r>
    </w:p>
  </w:footnote>
  <w:footnote w:type="continuationSeparator" w:id="0">
    <w:p w14:paraId="3175B7B2" w14:textId="77777777" w:rsidR="00D54B5C" w:rsidRDefault="00D54B5C" w:rsidP="0080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F48A" w14:textId="77777777" w:rsidR="002B1584" w:rsidRDefault="002B1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2D0A" w14:textId="23B5082F" w:rsidR="002B1584" w:rsidRDefault="00C9251D" w:rsidP="002B1584">
    <w:pPr>
      <w:spacing w:before="65"/>
      <w:ind w:left="114"/>
      <w:rPr>
        <w:sz w:val="16"/>
      </w:rPr>
    </w:pPr>
    <w:r w:rsidRPr="008D22A9">
      <w:rPr>
        <w:rFonts w:ascii="Tahoma" w:hAnsi="Tahoma"/>
        <w:sz w:val="18"/>
      </w:rPr>
      <w:tab/>
    </w:r>
    <w:r w:rsidR="002B1584">
      <w:rPr>
        <w:rFonts w:ascii="Tahoma" w:hAnsi="Tahoma"/>
        <w:sz w:val="18"/>
      </w:rPr>
      <w:tab/>
    </w:r>
    <w:r w:rsidR="002B1584">
      <w:rPr>
        <w:rFonts w:ascii="Tahoma" w:hAnsi="Tahoma"/>
        <w:sz w:val="18"/>
      </w:rPr>
      <w:tab/>
    </w:r>
    <w:r w:rsidR="002B1584">
      <w:rPr>
        <w:rFonts w:ascii="Tahoma" w:hAnsi="Tahoma"/>
        <w:sz w:val="18"/>
      </w:rPr>
      <w:tab/>
    </w:r>
    <w:r w:rsidR="002B1584">
      <w:rPr>
        <w:color w:val="003148"/>
        <w:sz w:val="16"/>
      </w:rPr>
      <w:t>ESA</w:t>
    </w:r>
    <w:r w:rsidR="002B1584">
      <w:rPr>
        <w:color w:val="003148"/>
        <w:spacing w:val="-3"/>
        <w:sz w:val="16"/>
      </w:rPr>
      <w:t xml:space="preserve"> </w:t>
    </w:r>
    <w:r w:rsidR="002B1584">
      <w:rPr>
        <w:color w:val="003148"/>
        <w:sz w:val="16"/>
      </w:rPr>
      <w:t>UNCLASSIFIED</w:t>
    </w:r>
    <w:r w:rsidR="002B1584">
      <w:rPr>
        <w:color w:val="003148"/>
        <w:spacing w:val="-3"/>
        <w:sz w:val="16"/>
      </w:rPr>
      <w:t xml:space="preserve"> </w:t>
    </w:r>
    <w:r w:rsidR="002B1584">
      <w:rPr>
        <w:color w:val="003148"/>
        <w:sz w:val="16"/>
      </w:rPr>
      <w:t>-</w:t>
    </w:r>
    <w:r w:rsidR="002B1584">
      <w:rPr>
        <w:color w:val="003148"/>
        <w:spacing w:val="-1"/>
        <w:sz w:val="16"/>
      </w:rPr>
      <w:t xml:space="preserve"> </w:t>
    </w:r>
    <w:r w:rsidR="002B1584">
      <w:rPr>
        <w:color w:val="003148"/>
        <w:sz w:val="16"/>
      </w:rPr>
      <w:t>For</w:t>
    </w:r>
    <w:r w:rsidR="002B1584">
      <w:rPr>
        <w:color w:val="003148"/>
        <w:spacing w:val="-3"/>
        <w:sz w:val="16"/>
      </w:rPr>
      <w:t xml:space="preserve"> </w:t>
    </w:r>
    <w:r w:rsidR="002B1584">
      <w:rPr>
        <w:color w:val="003148"/>
        <w:sz w:val="16"/>
      </w:rPr>
      <w:t>ESA</w:t>
    </w:r>
    <w:r w:rsidR="002B1584">
      <w:rPr>
        <w:color w:val="003148"/>
        <w:spacing w:val="-1"/>
        <w:sz w:val="16"/>
      </w:rPr>
      <w:t xml:space="preserve"> </w:t>
    </w:r>
    <w:r w:rsidR="002B1584">
      <w:rPr>
        <w:color w:val="003148"/>
        <w:sz w:val="16"/>
      </w:rPr>
      <w:t>Official</w:t>
    </w:r>
    <w:r w:rsidR="002B1584">
      <w:rPr>
        <w:color w:val="003148"/>
        <w:spacing w:val="-2"/>
        <w:sz w:val="16"/>
      </w:rPr>
      <w:t xml:space="preserve"> </w:t>
    </w:r>
    <w:r w:rsidR="002B1584">
      <w:rPr>
        <w:color w:val="003148"/>
        <w:sz w:val="16"/>
      </w:rPr>
      <w:t>Use</w:t>
    </w:r>
    <w:r w:rsidR="002B1584">
      <w:rPr>
        <w:color w:val="003148"/>
        <w:spacing w:val="-3"/>
        <w:sz w:val="16"/>
      </w:rPr>
      <w:t xml:space="preserve"> </w:t>
    </w:r>
    <w:r w:rsidR="002B1584">
      <w:rPr>
        <w:color w:val="003148"/>
        <w:sz w:val="16"/>
      </w:rPr>
      <w:t>Only</w:t>
    </w:r>
  </w:p>
  <w:p w14:paraId="5400FF13" w14:textId="7307BC20" w:rsidR="00C9251D" w:rsidRPr="004C7D99" w:rsidRDefault="00C9251D" w:rsidP="00CC5C0B">
    <w:pPr>
      <w:pStyle w:val="Header"/>
      <w:tabs>
        <w:tab w:val="clear" w:pos="9026"/>
        <w:tab w:val="right" w:pos="9781"/>
      </w:tabs>
      <w:ind w:left="-709"/>
      <w:rPr>
        <w:rFonts w:asciiTheme="minorHAnsi" w:hAnsiTheme="minorHAnsi" w:cstheme="minorHAnsi"/>
        <w:sz w:val="18"/>
      </w:rPr>
    </w:pPr>
    <w:r w:rsidRPr="008D22A9">
      <w:rPr>
        <w:rFonts w:ascii="Tahoma" w:hAnsi="Tahoma"/>
        <w:sz w:val="18"/>
      </w:rPr>
      <w:tab/>
    </w:r>
    <w:r w:rsidR="002B1584">
      <w:rPr>
        <w:rFonts w:ascii="Tahoma" w:hAnsi="Tahoma"/>
        <w:sz w:val="18"/>
      </w:rPr>
      <w:tab/>
      <w:t xml:space="preserve">  </w:t>
    </w:r>
    <w:r w:rsidRPr="004C7D99">
      <w:rPr>
        <w:rFonts w:asciiTheme="minorHAnsi" w:hAnsiTheme="minorHAnsi" w:cstheme="minorHAnsi"/>
        <w:sz w:val="18"/>
      </w:rPr>
      <w:t xml:space="preserve">Issue Date: </w:t>
    </w:r>
    <w:r w:rsidR="008209E6">
      <w:rPr>
        <w:rFonts w:asciiTheme="minorHAnsi" w:hAnsiTheme="minorHAnsi" w:cstheme="minorHAnsi"/>
        <w:sz w:val="18"/>
      </w:rPr>
      <w:t>19</w:t>
    </w:r>
    <w:r w:rsidR="00567552" w:rsidRPr="004C7D99">
      <w:rPr>
        <w:rFonts w:asciiTheme="minorHAnsi" w:hAnsiTheme="minorHAnsi" w:cstheme="minorHAnsi"/>
        <w:sz w:val="18"/>
      </w:rPr>
      <w:t xml:space="preserve"> </w:t>
    </w:r>
    <w:r w:rsidR="008209E6">
      <w:rPr>
        <w:rFonts w:asciiTheme="minorHAnsi" w:hAnsiTheme="minorHAnsi" w:cstheme="minorHAnsi"/>
        <w:sz w:val="18"/>
      </w:rPr>
      <w:t>February</w:t>
    </w:r>
    <w:r w:rsidR="00567552" w:rsidRPr="004C7D99">
      <w:rPr>
        <w:rFonts w:asciiTheme="minorHAnsi" w:hAnsiTheme="minorHAnsi" w:cstheme="minorHAnsi"/>
        <w:sz w:val="18"/>
      </w:rPr>
      <w:t xml:space="preserve"> 202</w:t>
    </w:r>
    <w:r w:rsidR="002B1584">
      <w:rPr>
        <w:rFonts w:asciiTheme="minorHAnsi" w:hAnsiTheme="minorHAnsi" w:cstheme="minorHAnsi"/>
        <w:sz w:val="18"/>
      </w:rPr>
      <w:t>6</w:t>
    </w:r>
  </w:p>
  <w:p w14:paraId="4546700B" w14:textId="18A89BC5" w:rsidR="00C9251D" w:rsidRPr="004C7D99" w:rsidRDefault="002B1584" w:rsidP="003F4D86">
    <w:pPr>
      <w:pStyle w:val="Header"/>
      <w:spacing w:after="480"/>
      <w:jc w:val="right"/>
      <w:rPr>
        <w:rFonts w:asciiTheme="minorHAnsi" w:hAnsiTheme="minorHAnsi" w:cstheme="minorHAnsi"/>
        <w:sz w:val="18"/>
      </w:rPr>
    </w:pPr>
    <w:r>
      <w:rPr>
        <w:noProof/>
      </w:rPr>
      <w:drawing>
        <wp:anchor distT="0" distB="0" distL="0" distR="0" simplePos="0" relativeHeight="251661312" behindDoc="1" locked="0" layoutInCell="1" allowOverlap="1" wp14:anchorId="176CA4D1" wp14:editId="3DFBAE02">
          <wp:simplePos x="0" y="0"/>
          <wp:positionH relativeFrom="page">
            <wp:posOffset>720090</wp:posOffset>
          </wp:positionH>
          <wp:positionV relativeFrom="page">
            <wp:posOffset>588645</wp:posOffset>
          </wp:positionV>
          <wp:extent cx="1338578" cy="476248"/>
          <wp:effectExtent l="0" t="0" r="0" b="0"/>
          <wp:wrapNone/>
          <wp:docPr id="4613318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8578" cy="476248"/>
                  </a:xfrm>
                  <a:prstGeom prst="rect">
                    <a:avLst/>
                  </a:prstGeom>
                </pic:spPr>
              </pic:pic>
            </a:graphicData>
          </a:graphic>
        </wp:anchor>
      </w:drawing>
    </w:r>
    <w:r w:rsidR="00C9251D" w:rsidRPr="004C7D99">
      <w:rPr>
        <w:rFonts w:asciiTheme="minorHAnsi" w:hAnsiTheme="minorHAnsi" w:cstheme="minorHAnsi"/>
        <w:sz w:val="18"/>
      </w:rPr>
      <w:tab/>
      <w:t xml:space="preserve">Tenure:  Phase </w:t>
    </w:r>
    <w:r w:rsidR="00264787">
      <w:rPr>
        <w:rFonts w:asciiTheme="minorHAnsi" w:hAnsiTheme="minorHAnsi" w:cstheme="minorHAnsi"/>
        <w:sz w:val="18"/>
      </w:rPr>
      <w:t>B2</w:t>
    </w:r>
    <w:r w:rsidR="008C2706">
      <w:rPr>
        <w:rFonts w:asciiTheme="minorHAnsi" w:hAnsiTheme="minorHAnsi" w:cstheme="minorHAnsi"/>
        <w:sz w:val="18"/>
      </w:rPr>
      <w:t>/</w:t>
    </w:r>
    <w:r w:rsidR="00264787">
      <w:rPr>
        <w:rFonts w:asciiTheme="minorHAnsi" w:hAnsiTheme="minorHAnsi" w:cstheme="minorHAnsi"/>
        <w:sz w:val="18"/>
      </w:rPr>
      <w:t>C</w:t>
    </w:r>
  </w:p>
  <w:p w14:paraId="3A451E4D" w14:textId="77777777" w:rsidR="00C9251D" w:rsidRDefault="00C9251D" w:rsidP="00807C60">
    <w:pPr>
      <w:pStyle w:val="Header"/>
      <w:ind w:left="-709"/>
      <w:rPr>
        <w:rFonts w:ascii="Georgia" w:hAnsi="Georgi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7075" w14:textId="77777777" w:rsidR="002B1584" w:rsidRDefault="002B1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C33"/>
    <w:multiLevelType w:val="hybridMultilevel"/>
    <w:tmpl w:val="BE0EB9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A974A5"/>
    <w:multiLevelType w:val="hybridMultilevel"/>
    <w:tmpl w:val="E40AF9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796171"/>
    <w:multiLevelType w:val="hybridMultilevel"/>
    <w:tmpl w:val="F1FE3C5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B25D5F"/>
    <w:multiLevelType w:val="hybridMultilevel"/>
    <w:tmpl w:val="8140E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0106A8"/>
    <w:multiLevelType w:val="hybridMultilevel"/>
    <w:tmpl w:val="25B6352E"/>
    <w:lvl w:ilvl="0" w:tplc="A1FE05AA">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16cid:durableId="1333875255">
    <w:abstractNumId w:val="2"/>
  </w:num>
  <w:num w:numId="2" w16cid:durableId="1203833358">
    <w:abstractNumId w:val="0"/>
  </w:num>
  <w:num w:numId="3" w16cid:durableId="1728996045">
    <w:abstractNumId w:val="4"/>
  </w:num>
  <w:num w:numId="4" w16cid:durableId="1083915256">
    <w:abstractNumId w:val="3"/>
  </w:num>
  <w:num w:numId="5" w16cid:durableId="206694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60"/>
    <w:rsid w:val="000166B4"/>
    <w:rsid w:val="00021FEB"/>
    <w:rsid w:val="000252C5"/>
    <w:rsid w:val="00026390"/>
    <w:rsid w:val="00044F6D"/>
    <w:rsid w:val="00060FC0"/>
    <w:rsid w:val="0006131C"/>
    <w:rsid w:val="000762BD"/>
    <w:rsid w:val="000807F8"/>
    <w:rsid w:val="00086880"/>
    <w:rsid w:val="000A3FBC"/>
    <w:rsid w:val="000B0494"/>
    <w:rsid w:val="000C13D7"/>
    <w:rsid w:val="000C6D3D"/>
    <w:rsid w:val="000E405F"/>
    <w:rsid w:val="0010634D"/>
    <w:rsid w:val="00110397"/>
    <w:rsid w:val="001213C8"/>
    <w:rsid w:val="0012205D"/>
    <w:rsid w:val="0012454D"/>
    <w:rsid w:val="0013114E"/>
    <w:rsid w:val="00132F60"/>
    <w:rsid w:val="0013430A"/>
    <w:rsid w:val="0014241D"/>
    <w:rsid w:val="00147A92"/>
    <w:rsid w:val="00154D6A"/>
    <w:rsid w:val="001616D4"/>
    <w:rsid w:val="00165E1C"/>
    <w:rsid w:val="001729DE"/>
    <w:rsid w:val="00192495"/>
    <w:rsid w:val="001A0466"/>
    <w:rsid w:val="001A0919"/>
    <w:rsid w:val="001A61F1"/>
    <w:rsid w:val="001A6F65"/>
    <w:rsid w:val="001B1FB8"/>
    <w:rsid w:val="001C41BB"/>
    <w:rsid w:val="001C769F"/>
    <w:rsid w:val="001D06DC"/>
    <w:rsid w:val="001F08D8"/>
    <w:rsid w:val="001F2C84"/>
    <w:rsid w:val="0020066F"/>
    <w:rsid w:val="00204BB2"/>
    <w:rsid w:val="00205170"/>
    <w:rsid w:val="00214309"/>
    <w:rsid w:val="002217F3"/>
    <w:rsid w:val="002223DF"/>
    <w:rsid w:val="00222A6F"/>
    <w:rsid w:val="0022401A"/>
    <w:rsid w:val="0023189D"/>
    <w:rsid w:val="0023205D"/>
    <w:rsid w:val="00255885"/>
    <w:rsid w:val="00264787"/>
    <w:rsid w:val="00266387"/>
    <w:rsid w:val="00285192"/>
    <w:rsid w:val="002859E7"/>
    <w:rsid w:val="002900D2"/>
    <w:rsid w:val="0029223C"/>
    <w:rsid w:val="00292B36"/>
    <w:rsid w:val="0029612E"/>
    <w:rsid w:val="002B1584"/>
    <w:rsid w:val="002B1D43"/>
    <w:rsid w:val="002C6A38"/>
    <w:rsid w:val="002D18A7"/>
    <w:rsid w:val="002E18FD"/>
    <w:rsid w:val="002F121A"/>
    <w:rsid w:val="00314ED6"/>
    <w:rsid w:val="00315278"/>
    <w:rsid w:val="00315F98"/>
    <w:rsid w:val="00327242"/>
    <w:rsid w:val="003276D2"/>
    <w:rsid w:val="00337126"/>
    <w:rsid w:val="00354025"/>
    <w:rsid w:val="003617D7"/>
    <w:rsid w:val="003674C6"/>
    <w:rsid w:val="0038422E"/>
    <w:rsid w:val="003B6320"/>
    <w:rsid w:val="003C2286"/>
    <w:rsid w:val="003E0F21"/>
    <w:rsid w:val="003F2EE1"/>
    <w:rsid w:val="003F4D86"/>
    <w:rsid w:val="003F597A"/>
    <w:rsid w:val="00407717"/>
    <w:rsid w:val="00433AD1"/>
    <w:rsid w:val="00436C26"/>
    <w:rsid w:val="00440681"/>
    <w:rsid w:val="004443A4"/>
    <w:rsid w:val="00452A76"/>
    <w:rsid w:val="00455D0E"/>
    <w:rsid w:val="004575B7"/>
    <w:rsid w:val="0046511F"/>
    <w:rsid w:val="004973A3"/>
    <w:rsid w:val="004A0859"/>
    <w:rsid w:val="004A2376"/>
    <w:rsid w:val="004A2E9F"/>
    <w:rsid w:val="004C3AB3"/>
    <w:rsid w:val="004C468F"/>
    <w:rsid w:val="004C7D99"/>
    <w:rsid w:val="004D67D3"/>
    <w:rsid w:val="004D6F4C"/>
    <w:rsid w:val="004E0E13"/>
    <w:rsid w:val="004E20EE"/>
    <w:rsid w:val="00510349"/>
    <w:rsid w:val="005179D7"/>
    <w:rsid w:val="00545110"/>
    <w:rsid w:val="00562F36"/>
    <w:rsid w:val="0056407D"/>
    <w:rsid w:val="005669A6"/>
    <w:rsid w:val="00567552"/>
    <w:rsid w:val="005736A8"/>
    <w:rsid w:val="00576F27"/>
    <w:rsid w:val="0058596B"/>
    <w:rsid w:val="00594111"/>
    <w:rsid w:val="005942E0"/>
    <w:rsid w:val="005A7957"/>
    <w:rsid w:val="005D22BE"/>
    <w:rsid w:val="005D7B4F"/>
    <w:rsid w:val="005E0FBE"/>
    <w:rsid w:val="005F4135"/>
    <w:rsid w:val="005F50BA"/>
    <w:rsid w:val="00614D17"/>
    <w:rsid w:val="00617592"/>
    <w:rsid w:val="00620F11"/>
    <w:rsid w:val="006327C3"/>
    <w:rsid w:val="00633E00"/>
    <w:rsid w:val="00661D37"/>
    <w:rsid w:val="0068062E"/>
    <w:rsid w:val="00696491"/>
    <w:rsid w:val="006A5C5D"/>
    <w:rsid w:val="006B47C0"/>
    <w:rsid w:val="006D0F71"/>
    <w:rsid w:val="006D4452"/>
    <w:rsid w:val="006E37B5"/>
    <w:rsid w:val="006E4432"/>
    <w:rsid w:val="006F133E"/>
    <w:rsid w:val="00712FAF"/>
    <w:rsid w:val="007136D7"/>
    <w:rsid w:val="0071544F"/>
    <w:rsid w:val="00716083"/>
    <w:rsid w:val="00716E8B"/>
    <w:rsid w:val="0075536B"/>
    <w:rsid w:val="007561C5"/>
    <w:rsid w:val="0077004A"/>
    <w:rsid w:val="00787FAD"/>
    <w:rsid w:val="007A1D5E"/>
    <w:rsid w:val="007A1FFA"/>
    <w:rsid w:val="007A5B24"/>
    <w:rsid w:val="007C1F0A"/>
    <w:rsid w:val="007C5F09"/>
    <w:rsid w:val="007D7F6E"/>
    <w:rsid w:val="007E1073"/>
    <w:rsid w:val="007E490F"/>
    <w:rsid w:val="007E77BB"/>
    <w:rsid w:val="007F27BF"/>
    <w:rsid w:val="007F43A7"/>
    <w:rsid w:val="007F4692"/>
    <w:rsid w:val="00801466"/>
    <w:rsid w:val="008026CD"/>
    <w:rsid w:val="0080570B"/>
    <w:rsid w:val="00807C60"/>
    <w:rsid w:val="00817E29"/>
    <w:rsid w:val="008209E6"/>
    <w:rsid w:val="00825E72"/>
    <w:rsid w:val="00830AF2"/>
    <w:rsid w:val="008656AD"/>
    <w:rsid w:val="00867A9D"/>
    <w:rsid w:val="0088218C"/>
    <w:rsid w:val="00891A4C"/>
    <w:rsid w:val="00891D8E"/>
    <w:rsid w:val="0089204F"/>
    <w:rsid w:val="00892A67"/>
    <w:rsid w:val="00897A79"/>
    <w:rsid w:val="008B6AFF"/>
    <w:rsid w:val="008C018B"/>
    <w:rsid w:val="008C2706"/>
    <w:rsid w:val="008C3F12"/>
    <w:rsid w:val="008D46B9"/>
    <w:rsid w:val="008D47B9"/>
    <w:rsid w:val="008E1E33"/>
    <w:rsid w:val="008F1E05"/>
    <w:rsid w:val="008F3371"/>
    <w:rsid w:val="008F3DCA"/>
    <w:rsid w:val="008F439D"/>
    <w:rsid w:val="00910A02"/>
    <w:rsid w:val="0091590F"/>
    <w:rsid w:val="009159D9"/>
    <w:rsid w:val="009223E3"/>
    <w:rsid w:val="009279E7"/>
    <w:rsid w:val="00931126"/>
    <w:rsid w:val="00931FA6"/>
    <w:rsid w:val="00940EDC"/>
    <w:rsid w:val="009454F3"/>
    <w:rsid w:val="00946299"/>
    <w:rsid w:val="009555D3"/>
    <w:rsid w:val="00957088"/>
    <w:rsid w:val="00976A9F"/>
    <w:rsid w:val="00976C2D"/>
    <w:rsid w:val="009806F9"/>
    <w:rsid w:val="009B02FC"/>
    <w:rsid w:val="009C1D52"/>
    <w:rsid w:val="009D70CE"/>
    <w:rsid w:val="009E1301"/>
    <w:rsid w:val="009E626B"/>
    <w:rsid w:val="009F0D11"/>
    <w:rsid w:val="00A0281D"/>
    <w:rsid w:val="00A072C7"/>
    <w:rsid w:val="00A262EB"/>
    <w:rsid w:val="00A63465"/>
    <w:rsid w:val="00A71F62"/>
    <w:rsid w:val="00A75E01"/>
    <w:rsid w:val="00A82BC7"/>
    <w:rsid w:val="00A97BF8"/>
    <w:rsid w:val="00AA00EF"/>
    <w:rsid w:val="00AA3F52"/>
    <w:rsid w:val="00AF1AE4"/>
    <w:rsid w:val="00AF51D2"/>
    <w:rsid w:val="00AF5C6D"/>
    <w:rsid w:val="00B1294B"/>
    <w:rsid w:val="00B14B8D"/>
    <w:rsid w:val="00B26B45"/>
    <w:rsid w:val="00B274F0"/>
    <w:rsid w:val="00B371A6"/>
    <w:rsid w:val="00B429DC"/>
    <w:rsid w:val="00B44129"/>
    <w:rsid w:val="00B57368"/>
    <w:rsid w:val="00B6711F"/>
    <w:rsid w:val="00B67966"/>
    <w:rsid w:val="00B831A9"/>
    <w:rsid w:val="00B9291D"/>
    <w:rsid w:val="00B9400F"/>
    <w:rsid w:val="00BB5753"/>
    <w:rsid w:val="00BB6663"/>
    <w:rsid w:val="00BC09D2"/>
    <w:rsid w:val="00BD1359"/>
    <w:rsid w:val="00BD4065"/>
    <w:rsid w:val="00BD488F"/>
    <w:rsid w:val="00BD523C"/>
    <w:rsid w:val="00BF2AB3"/>
    <w:rsid w:val="00C07B93"/>
    <w:rsid w:val="00C16857"/>
    <w:rsid w:val="00C171CC"/>
    <w:rsid w:val="00C21ADB"/>
    <w:rsid w:val="00C24E15"/>
    <w:rsid w:val="00C32595"/>
    <w:rsid w:val="00C36884"/>
    <w:rsid w:val="00C37B97"/>
    <w:rsid w:val="00C46371"/>
    <w:rsid w:val="00C50B4D"/>
    <w:rsid w:val="00C57E74"/>
    <w:rsid w:val="00C67579"/>
    <w:rsid w:val="00C71CB5"/>
    <w:rsid w:val="00C725EC"/>
    <w:rsid w:val="00C72740"/>
    <w:rsid w:val="00C73A0C"/>
    <w:rsid w:val="00C83ABD"/>
    <w:rsid w:val="00C852F7"/>
    <w:rsid w:val="00C9251D"/>
    <w:rsid w:val="00C9426B"/>
    <w:rsid w:val="00C96207"/>
    <w:rsid w:val="00C96809"/>
    <w:rsid w:val="00CB375B"/>
    <w:rsid w:val="00CC5C0B"/>
    <w:rsid w:val="00CC67A4"/>
    <w:rsid w:val="00CD1AE4"/>
    <w:rsid w:val="00D03B77"/>
    <w:rsid w:val="00D13091"/>
    <w:rsid w:val="00D16EBB"/>
    <w:rsid w:val="00D3114E"/>
    <w:rsid w:val="00D35B20"/>
    <w:rsid w:val="00D37179"/>
    <w:rsid w:val="00D47CC0"/>
    <w:rsid w:val="00D54B5C"/>
    <w:rsid w:val="00D60D40"/>
    <w:rsid w:val="00D65E3B"/>
    <w:rsid w:val="00D7521C"/>
    <w:rsid w:val="00D777C7"/>
    <w:rsid w:val="00D94D7C"/>
    <w:rsid w:val="00D958FF"/>
    <w:rsid w:val="00DD15E9"/>
    <w:rsid w:val="00DD2941"/>
    <w:rsid w:val="00DD5EC6"/>
    <w:rsid w:val="00DE4E03"/>
    <w:rsid w:val="00DF475E"/>
    <w:rsid w:val="00E12268"/>
    <w:rsid w:val="00E13332"/>
    <w:rsid w:val="00E456BC"/>
    <w:rsid w:val="00E51C68"/>
    <w:rsid w:val="00E55FBE"/>
    <w:rsid w:val="00E74BFC"/>
    <w:rsid w:val="00E75D33"/>
    <w:rsid w:val="00E76BAB"/>
    <w:rsid w:val="00E81C82"/>
    <w:rsid w:val="00E94462"/>
    <w:rsid w:val="00E963E2"/>
    <w:rsid w:val="00EA0911"/>
    <w:rsid w:val="00EA1E1E"/>
    <w:rsid w:val="00EB2729"/>
    <w:rsid w:val="00EB52B6"/>
    <w:rsid w:val="00EC1914"/>
    <w:rsid w:val="00EC2F4F"/>
    <w:rsid w:val="00EC68CF"/>
    <w:rsid w:val="00ED035E"/>
    <w:rsid w:val="00ED342F"/>
    <w:rsid w:val="00EE1540"/>
    <w:rsid w:val="00F0574F"/>
    <w:rsid w:val="00F06CEB"/>
    <w:rsid w:val="00F15A8F"/>
    <w:rsid w:val="00F23BB8"/>
    <w:rsid w:val="00F30616"/>
    <w:rsid w:val="00F5656B"/>
    <w:rsid w:val="00F66694"/>
    <w:rsid w:val="00F66CDC"/>
    <w:rsid w:val="00FB2AA4"/>
    <w:rsid w:val="00FD3331"/>
    <w:rsid w:val="00FF2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8A779"/>
  <w15:docId w15:val="{154DC250-7BCC-4241-BA90-318D68B3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60"/>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7C60"/>
    <w:pPr>
      <w:tabs>
        <w:tab w:val="center" w:pos="4513"/>
        <w:tab w:val="right" w:pos="9026"/>
      </w:tabs>
    </w:pPr>
  </w:style>
  <w:style w:type="character" w:customStyle="1" w:styleId="HeaderChar">
    <w:name w:val="Header Char"/>
    <w:basedOn w:val="DefaultParagraphFont"/>
    <w:link w:val="Header"/>
    <w:uiPriority w:val="99"/>
    <w:rsid w:val="00807C60"/>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807C60"/>
    <w:pPr>
      <w:tabs>
        <w:tab w:val="center" w:pos="4513"/>
        <w:tab w:val="right" w:pos="9026"/>
      </w:tabs>
    </w:pPr>
  </w:style>
  <w:style w:type="character" w:customStyle="1" w:styleId="FooterChar">
    <w:name w:val="Footer Char"/>
    <w:basedOn w:val="DefaultParagraphFont"/>
    <w:link w:val="Footer"/>
    <w:uiPriority w:val="99"/>
    <w:rsid w:val="00807C60"/>
    <w:rPr>
      <w:rFonts w:ascii="Times New Roman" w:eastAsia="Times New Roman" w:hAnsi="Times New Roman" w:cs="Times New Roman"/>
      <w:szCs w:val="20"/>
      <w:lang w:val="en-GB"/>
    </w:rPr>
  </w:style>
  <w:style w:type="character" w:styleId="PageNumber">
    <w:name w:val="page number"/>
    <w:basedOn w:val="DefaultParagraphFont"/>
    <w:unhideWhenUsed/>
    <w:rsid w:val="00AF1AE4"/>
  </w:style>
  <w:style w:type="paragraph" w:styleId="FootnoteText">
    <w:name w:val="footnote text"/>
    <w:basedOn w:val="Normal"/>
    <w:link w:val="FootnoteTextChar"/>
    <w:uiPriority w:val="99"/>
    <w:semiHidden/>
    <w:unhideWhenUsed/>
    <w:rsid w:val="003F4D86"/>
    <w:rPr>
      <w:sz w:val="20"/>
    </w:rPr>
  </w:style>
  <w:style w:type="character" w:customStyle="1" w:styleId="FootnoteTextChar">
    <w:name w:val="Footnote Text Char"/>
    <w:basedOn w:val="DefaultParagraphFont"/>
    <w:link w:val="FootnoteText"/>
    <w:uiPriority w:val="99"/>
    <w:semiHidden/>
    <w:rsid w:val="003F4D8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F4D86"/>
    <w:rPr>
      <w:vertAlign w:val="superscript"/>
    </w:rPr>
  </w:style>
  <w:style w:type="paragraph" w:styleId="BalloonText">
    <w:name w:val="Balloon Text"/>
    <w:basedOn w:val="Normal"/>
    <w:link w:val="BalloonTextChar"/>
    <w:uiPriority w:val="99"/>
    <w:semiHidden/>
    <w:unhideWhenUsed/>
    <w:rsid w:val="005736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36A8"/>
    <w:rPr>
      <w:rFonts w:ascii="Lucida Grande" w:eastAsia="Times New Roman" w:hAnsi="Lucida Grande" w:cs="Lucida Grande"/>
      <w:sz w:val="18"/>
      <w:szCs w:val="18"/>
      <w:lang w:val="en-GB"/>
    </w:rPr>
  </w:style>
  <w:style w:type="paragraph" w:styleId="Revision">
    <w:name w:val="Revision"/>
    <w:hidden/>
    <w:uiPriority w:val="99"/>
    <w:semiHidden/>
    <w:rsid w:val="00510349"/>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D3114E"/>
    <w:rPr>
      <w:sz w:val="18"/>
      <w:szCs w:val="18"/>
    </w:rPr>
  </w:style>
  <w:style w:type="paragraph" w:styleId="CommentText">
    <w:name w:val="annotation text"/>
    <w:basedOn w:val="Normal"/>
    <w:link w:val="CommentTextChar"/>
    <w:uiPriority w:val="99"/>
    <w:unhideWhenUsed/>
    <w:rsid w:val="00D3114E"/>
    <w:rPr>
      <w:szCs w:val="24"/>
    </w:rPr>
  </w:style>
  <w:style w:type="character" w:customStyle="1" w:styleId="CommentTextChar">
    <w:name w:val="Comment Text Char"/>
    <w:basedOn w:val="DefaultParagraphFont"/>
    <w:link w:val="CommentText"/>
    <w:uiPriority w:val="99"/>
    <w:rsid w:val="00D3114E"/>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D3114E"/>
    <w:rPr>
      <w:b/>
      <w:bCs/>
      <w:sz w:val="20"/>
      <w:szCs w:val="20"/>
    </w:rPr>
  </w:style>
  <w:style w:type="character" w:customStyle="1" w:styleId="CommentSubjectChar">
    <w:name w:val="Comment Subject Char"/>
    <w:basedOn w:val="CommentTextChar"/>
    <w:link w:val="CommentSubject"/>
    <w:uiPriority w:val="99"/>
    <w:semiHidden/>
    <w:rsid w:val="00D3114E"/>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6A5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0728-CC6D-4456-B529-606D7117765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4985</Characters>
  <Application>Microsoft Office Word</Application>
  <DocSecurity>4</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European Space Agency - ESTEC</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Drusilla Wishart</dc:creator>
  <cp:keywords/>
  <dc:description/>
  <cp:lastModifiedBy>Maria Francesca Illiano</cp:lastModifiedBy>
  <cp:revision>2</cp:revision>
  <cp:lastPrinted>2018-09-10T15:33:00Z</cp:lastPrinted>
  <dcterms:created xsi:type="dcterms:W3CDTF">2026-02-23T11:28:00Z</dcterms:created>
  <dcterms:modified xsi:type="dcterms:W3CDTF">2026-02-23T11:28:00Z</dcterms:modified>
</cp:coreProperties>
</file>